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78CE" w14:textId="77777777" w:rsidR="001754FD" w:rsidRDefault="001754FD">
      <w:pPr>
        <w:spacing w:after="120"/>
        <w:jc w:val="center"/>
        <w:rPr>
          <w:b/>
          <w:bCs/>
          <w:sz w:val="32"/>
          <w:szCs w:val="32"/>
        </w:rPr>
      </w:pPr>
      <w:r w:rsidRPr="001754FD">
        <w:rPr>
          <w:b/>
          <w:bCs/>
          <w:sz w:val="32"/>
          <w:szCs w:val="32"/>
        </w:rPr>
        <w:t xml:space="preserve">Pression vectorielle et circulation des agents pathogènes à tiques en élevage bovin : une étude départementale </w:t>
      </w:r>
      <w:r>
        <w:rPr>
          <w:b/>
          <w:bCs/>
          <w:sz w:val="32"/>
          <w:szCs w:val="32"/>
        </w:rPr>
        <w:t xml:space="preserve">inédite </w:t>
      </w:r>
      <w:r w:rsidRPr="001754FD">
        <w:rPr>
          <w:b/>
          <w:bCs/>
          <w:sz w:val="32"/>
          <w:szCs w:val="32"/>
        </w:rPr>
        <w:t>dans les Vosges</w:t>
      </w:r>
    </w:p>
    <w:p w14:paraId="1A3845EF" w14:textId="77777777" w:rsidR="001754FD" w:rsidRDefault="001754FD" w:rsidP="0052028A">
      <w:pPr>
        <w:spacing w:after="120"/>
        <w:rPr>
          <w:b/>
          <w:bCs/>
          <w:sz w:val="32"/>
          <w:szCs w:val="32"/>
        </w:rPr>
      </w:pPr>
    </w:p>
    <w:p w14:paraId="7BD1A466" w14:textId="217B947B" w:rsidR="00E2542A" w:rsidRDefault="00000000" w:rsidP="0052028A">
      <w:pPr>
        <w:spacing w:after="120"/>
      </w:pPr>
      <w:r>
        <w:rPr>
          <w:b/>
          <w:bCs/>
        </w:rPr>
        <w:t>MAXANT-PUCCIO A.</w:t>
      </w:r>
      <w:r>
        <w:t xml:space="preserve">¹, </w:t>
      </w:r>
      <w:r w:rsidR="00324225">
        <w:rPr>
          <w:b/>
          <w:bCs/>
        </w:rPr>
        <w:t>HAAS C.</w:t>
      </w:r>
      <w:r w:rsidR="00324225">
        <w:t xml:space="preserve">¹, </w:t>
      </w:r>
      <w:r>
        <w:rPr>
          <w:b/>
          <w:bCs/>
        </w:rPr>
        <w:t>DURAND J.</w:t>
      </w:r>
      <w:r>
        <w:t xml:space="preserve">², </w:t>
      </w:r>
      <w:r>
        <w:rPr>
          <w:b/>
          <w:bCs/>
        </w:rPr>
        <w:t>MOUTAILLER S.</w:t>
      </w:r>
      <w:r>
        <w:t xml:space="preserve">³, </w:t>
      </w:r>
      <w:r>
        <w:rPr>
          <w:i/>
          <w:iCs/>
        </w:rPr>
        <w:t>et al.</w:t>
      </w:r>
    </w:p>
    <w:p w14:paraId="349CCF06" w14:textId="77777777" w:rsidR="00E2542A" w:rsidRDefault="00000000" w:rsidP="0052028A">
      <w:pPr>
        <w:spacing w:after="60"/>
      </w:pPr>
      <w:proofErr w:type="gramStart"/>
      <w:r>
        <w:rPr>
          <w:i/>
          <w:iCs/>
          <w:sz w:val="20"/>
          <w:szCs w:val="20"/>
        </w:rPr>
        <w:t>¹</w:t>
      </w:r>
      <w:proofErr w:type="gramEnd"/>
      <w:r>
        <w:rPr>
          <w:i/>
          <w:iCs/>
          <w:sz w:val="20"/>
          <w:szCs w:val="20"/>
        </w:rPr>
        <w:t xml:space="preserve"> Groupement de Défense Sanitaire des Vosges, Épinal</w:t>
      </w:r>
      <w:r>
        <w:rPr>
          <w:sz w:val="20"/>
          <w:szCs w:val="20"/>
        </w:rPr>
        <w:tab/>
      </w:r>
    </w:p>
    <w:p w14:paraId="7EBED74B" w14:textId="77777777" w:rsidR="00E2542A" w:rsidRDefault="00000000" w:rsidP="0052028A">
      <w:pPr>
        <w:spacing w:after="60"/>
      </w:pPr>
      <w:proofErr w:type="gramStart"/>
      <w:r>
        <w:rPr>
          <w:i/>
          <w:iCs/>
          <w:sz w:val="20"/>
          <w:szCs w:val="20"/>
        </w:rPr>
        <w:t>²</w:t>
      </w:r>
      <w:proofErr w:type="gramEnd"/>
      <w:r>
        <w:rPr>
          <w:i/>
          <w:iCs/>
          <w:sz w:val="20"/>
          <w:szCs w:val="20"/>
        </w:rPr>
        <w:t xml:space="preserve"> </w:t>
      </w:r>
      <w:proofErr w:type="spellStart"/>
      <w:r>
        <w:rPr>
          <w:i/>
          <w:iCs/>
          <w:sz w:val="20"/>
          <w:szCs w:val="20"/>
        </w:rPr>
        <w:t>CiTIQUE</w:t>
      </w:r>
      <w:proofErr w:type="spellEnd"/>
      <w:r>
        <w:rPr>
          <w:i/>
          <w:iCs/>
          <w:sz w:val="20"/>
          <w:szCs w:val="20"/>
        </w:rPr>
        <w:t xml:space="preserve"> / INRAE Grand Est, UMR IAM — Nancy</w:t>
      </w:r>
    </w:p>
    <w:p w14:paraId="7A564856" w14:textId="77777777" w:rsidR="00E2542A" w:rsidRDefault="00000000" w:rsidP="0052028A">
      <w:pPr>
        <w:spacing w:after="360"/>
      </w:pPr>
      <w:proofErr w:type="gramStart"/>
      <w:r>
        <w:rPr>
          <w:i/>
          <w:iCs/>
          <w:sz w:val="20"/>
          <w:szCs w:val="20"/>
        </w:rPr>
        <w:t>³</w:t>
      </w:r>
      <w:proofErr w:type="gramEnd"/>
      <w:r>
        <w:rPr>
          <w:i/>
          <w:iCs/>
          <w:sz w:val="20"/>
          <w:szCs w:val="20"/>
        </w:rPr>
        <w:t xml:space="preserve"> ANSES, Laboratoire de Santé Animale, UMR BIPAR — Maisons-Alfort</w:t>
      </w:r>
    </w:p>
    <w:p w14:paraId="5B220141" w14:textId="77777777" w:rsidR="00E2542A" w:rsidRDefault="00000000">
      <w:pPr>
        <w:spacing w:before="120" w:after="180"/>
      </w:pPr>
      <w:r>
        <w:rPr>
          <w:b/>
          <w:bCs/>
          <w:sz w:val="26"/>
          <w:szCs w:val="26"/>
        </w:rPr>
        <w:t>Résumé</w:t>
      </w:r>
    </w:p>
    <w:p w14:paraId="4296F7C0" w14:textId="2D70C191" w:rsidR="00E2542A" w:rsidRDefault="00000000">
      <w:pPr>
        <w:spacing w:after="120" w:line="320" w:lineRule="auto"/>
        <w:jc w:val="both"/>
      </w:pPr>
      <w:r>
        <w:rPr>
          <w:b/>
          <w:bCs/>
        </w:rPr>
        <w:t xml:space="preserve">Contexte. </w:t>
      </w:r>
      <w:r>
        <w:t xml:space="preserve">Les </w:t>
      </w:r>
      <w:r w:rsidR="001754FD">
        <w:t>M</w:t>
      </w:r>
      <w:r>
        <w:t xml:space="preserve">aladies </w:t>
      </w:r>
      <w:r w:rsidR="001754FD">
        <w:t>V</w:t>
      </w:r>
      <w:r>
        <w:t xml:space="preserve">ectorielles à </w:t>
      </w:r>
      <w:r w:rsidR="001754FD">
        <w:t>T</w:t>
      </w:r>
      <w:r>
        <w:t>iques (MVT) sont en progression constante en Europe, avec un impact zootechnique encore mal caractérisé dans les élevages bovins français. Dans les Vosges</w:t>
      </w:r>
      <w:r w:rsidR="001754FD">
        <w:t xml:space="preserve"> (88)</w:t>
      </w:r>
      <w:r>
        <w:t>, les données des packs avortement et l'observation de tableaux cliniques inexpliqués (hyperthermies et chute de production sans mammite objectivée) ont motivé la conduite d'une étude départementale dédiée</w:t>
      </w:r>
      <w:r w:rsidR="0052028A">
        <w:t xml:space="preserve"> en collaboration avec des acteurs locaux.</w:t>
      </w:r>
    </w:p>
    <w:p w14:paraId="34AB5220" w14:textId="42300BD7" w:rsidR="00E2542A" w:rsidRDefault="00000000">
      <w:pPr>
        <w:spacing w:after="120" w:line="320" w:lineRule="auto"/>
        <w:jc w:val="both"/>
      </w:pPr>
      <w:r>
        <w:rPr>
          <w:b/>
          <w:bCs/>
        </w:rPr>
        <w:t xml:space="preserve">Objectifs. </w:t>
      </w:r>
      <w:r>
        <w:t xml:space="preserve">(i) Caractériser la pression vectorielle en pâture, (ii) décrire la circulation des agents pathogènes dans les tiques et chez les bovins, (iii) identifier des facteurs de risque environnementaux, (iv) proposer des leviers opérationnels pour la </w:t>
      </w:r>
      <w:r w:rsidR="007D514F">
        <w:t>prévention sanitaire</w:t>
      </w:r>
      <w:r>
        <w:t>.</w:t>
      </w:r>
    </w:p>
    <w:p w14:paraId="2B7A5325" w14:textId="77777777" w:rsidR="00E2542A" w:rsidRDefault="00000000">
      <w:pPr>
        <w:spacing w:after="120" w:line="320" w:lineRule="auto"/>
        <w:jc w:val="both"/>
      </w:pPr>
      <w:r>
        <w:rPr>
          <w:b/>
          <w:bCs/>
        </w:rPr>
        <w:t xml:space="preserve">Méthode. </w:t>
      </w:r>
      <w:r>
        <w:t>Étude conduite au printemps et à l'été 2025 dans 29 élevages bovins répartis sur 10 cantons vosgiens. Collecte de tiques en pâture par la méthode du drapeau, prélèvements sanguins sur 474 bovins (sérologies Borréliose et Ehrlichiose, PCR multiplex ciblant 44 agents pathogènes), enquête standardisée auprès des éleveurs. Analyses conduites par le LDVA88, le LDA 24 et l'ANSES.</w:t>
      </w:r>
    </w:p>
    <w:p w14:paraId="0ED46ACA" w14:textId="77777777" w:rsidR="00E2542A" w:rsidRDefault="00000000">
      <w:pPr>
        <w:spacing w:after="120" w:line="320" w:lineRule="auto"/>
        <w:jc w:val="both"/>
      </w:pPr>
      <w:r>
        <w:rPr>
          <w:b/>
          <w:bCs/>
        </w:rPr>
        <w:t xml:space="preserve">Résultats. </w:t>
      </w:r>
      <w:r>
        <w:t xml:space="preserve">La pression vectorielle moyenne atteint 940 tiques/ha, avec un pic à 1 500 tiques/ha au printemps. </w:t>
      </w:r>
      <w:r>
        <w:rPr>
          <w:i/>
          <w:iCs/>
        </w:rPr>
        <w:t xml:space="preserve">Ixodes </w:t>
      </w:r>
      <w:proofErr w:type="spellStart"/>
      <w:r>
        <w:rPr>
          <w:i/>
          <w:iCs/>
        </w:rPr>
        <w:t>ricinus</w:t>
      </w:r>
      <w:proofErr w:type="spellEnd"/>
      <w:r>
        <w:t xml:space="preserve"> représente 91 % des tiques collectées. Dans les broyats de tiques, </w:t>
      </w:r>
      <w:proofErr w:type="spellStart"/>
      <w:r>
        <w:rPr>
          <w:i/>
          <w:iCs/>
        </w:rPr>
        <w:t>Anaplasma</w:t>
      </w:r>
      <w:proofErr w:type="spellEnd"/>
      <w:r>
        <w:t xml:space="preserve"> </w:t>
      </w:r>
      <w:proofErr w:type="spellStart"/>
      <w:r>
        <w:t>spp</w:t>
      </w:r>
      <w:proofErr w:type="spellEnd"/>
      <w:r>
        <w:t xml:space="preserve">. </w:t>
      </w:r>
      <w:proofErr w:type="gramStart"/>
      <w:r>
        <w:t>est</w:t>
      </w:r>
      <w:proofErr w:type="gramEnd"/>
      <w:r>
        <w:t xml:space="preserve"> détecté chez 64 % des pools, </w:t>
      </w:r>
      <w:r>
        <w:rPr>
          <w:i/>
          <w:iCs/>
        </w:rPr>
        <w:t>Borrelia</w:t>
      </w:r>
      <w:r>
        <w:t xml:space="preserve"> </w:t>
      </w:r>
      <w:proofErr w:type="spellStart"/>
      <w:r>
        <w:t>spp</w:t>
      </w:r>
      <w:proofErr w:type="spellEnd"/>
      <w:r>
        <w:t xml:space="preserve">. </w:t>
      </w:r>
      <w:proofErr w:type="gramStart"/>
      <w:r>
        <w:t>chez</w:t>
      </w:r>
      <w:proofErr w:type="gramEnd"/>
      <w:r>
        <w:t xml:space="preserve"> 59 %, </w:t>
      </w:r>
      <w:r>
        <w:rPr>
          <w:i/>
          <w:iCs/>
        </w:rPr>
        <w:t>Rickettsia</w:t>
      </w:r>
      <w:r>
        <w:t xml:space="preserve"> </w:t>
      </w:r>
      <w:proofErr w:type="spellStart"/>
      <w:r>
        <w:t>spp</w:t>
      </w:r>
      <w:proofErr w:type="spellEnd"/>
      <w:r>
        <w:t xml:space="preserve">. </w:t>
      </w:r>
      <w:proofErr w:type="gramStart"/>
      <w:r>
        <w:t>chez</w:t>
      </w:r>
      <w:proofErr w:type="gramEnd"/>
      <w:r>
        <w:t xml:space="preserve"> 59 %, et </w:t>
      </w:r>
      <w:r>
        <w:rPr>
          <w:i/>
          <w:iCs/>
        </w:rPr>
        <w:t>Ehrlichia</w:t>
      </w:r>
      <w:r>
        <w:t xml:space="preserve"> </w:t>
      </w:r>
      <w:proofErr w:type="spellStart"/>
      <w:r>
        <w:t>spp</w:t>
      </w:r>
      <w:proofErr w:type="spellEnd"/>
      <w:r>
        <w:t xml:space="preserve">. </w:t>
      </w:r>
      <w:proofErr w:type="gramStart"/>
      <w:r>
        <w:t>chez</w:t>
      </w:r>
      <w:proofErr w:type="gramEnd"/>
      <w:r>
        <w:t xml:space="preserve"> 23 %. </w:t>
      </w:r>
      <w:proofErr w:type="spellStart"/>
      <w:r>
        <w:rPr>
          <w:i/>
          <w:iCs/>
        </w:rPr>
        <w:t>Coxiella</w:t>
      </w:r>
      <w:proofErr w:type="spellEnd"/>
      <w:r>
        <w:rPr>
          <w:i/>
          <w:iCs/>
        </w:rPr>
        <w:t xml:space="preserve"> </w:t>
      </w:r>
      <w:proofErr w:type="spellStart"/>
      <w:r>
        <w:rPr>
          <w:i/>
          <w:iCs/>
        </w:rPr>
        <w:t>burnetii</w:t>
      </w:r>
      <w:proofErr w:type="spellEnd"/>
      <w:r>
        <w:t xml:space="preserve"> n'a pas été détecté. Sur le plan sérologique, 76 % des élevages présentent au moins un bovin positif en Ehrlichiose (</w:t>
      </w:r>
      <w:proofErr w:type="spellStart"/>
      <w:r>
        <w:rPr>
          <w:i/>
          <w:iCs/>
        </w:rPr>
        <w:t>Anaplasma</w:t>
      </w:r>
      <w:proofErr w:type="spellEnd"/>
      <w:r>
        <w:rPr>
          <w:i/>
          <w:iCs/>
        </w:rPr>
        <w:t xml:space="preserve"> </w:t>
      </w:r>
      <w:proofErr w:type="spellStart"/>
      <w:r>
        <w:rPr>
          <w:i/>
          <w:iCs/>
        </w:rPr>
        <w:t>phagocytophilum</w:t>
      </w:r>
      <w:proofErr w:type="spellEnd"/>
      <w:r>
        <w:t>). Dans l'enquête, 97 % des éleveurs déclarent avoir déjà été piqués par des tiques, mais seuls 34 % connaissent l'ehrlichiose.</w:t>
      </w:r>
    </w:p>
    <w:p w14:paraId="061191A4" w14:textId="6CFE54A5" w:rsidR="00E2542A" w:rsidRDefault="00000000">
      <w:pPr>
        <w:spacing w:after="120" w:line="320" w:lineRule="auto"/>
        <w:jc w:val="both"/>
      </w:pPr>
      <w:r>
        <w:rPr>
          <w:b/>
          <w:bCs/>
        </w:rPr>
        <w:t xml:space="preserve">Conclusion. </w:t>
      </w:r>
      <w:r>
        <w:t xml:space="preserve">Les MVT constituent un enjeu sanitaire sous-estimé en élevage bovin vosgien. </w:t>
      </w:r>
      <w:proofErr w:type="spellStart"/>
      <w:r>
        <w:rPr>
          <w:i/>
          <w:iCs/>
        </w:rPr>
        <w:t>Anaplasma</w:t>
      </w:r>
      <w:proofErr w:type="spellEnd"/>
      <w:r>
        <w:rPr>
          <w:i/>
          <w:iCs/>
        </w:rPr>
        <w:t xml:space="preserve"> </w:t>
      </w:r>
      <w:proofErr w:type="spellStart"/>
      <w:r>
        <w:rPr>
          <w:i/>
          <w:iCs/>
        </w:rPr>
        <w:t>phagocytophilum</w:t>
      </w:r>
      <w:proofErr w:type="spellEnd"/>
      <w:r>
        <w:t xml:space="preserve">, détectable via le pack avortement multiplex, apparaît comme un marqueur pertinent de la pression vectorielle. L'approche One Health et l'implication du vétérinaire sanitaire dans le dépistage et la prévention sont des leviers centraux pour accompagner les </w:t>
      </w:r>
      <w:proofErr w:type="spellStart"/>
      <w:r>
        <w:t>élevages</w:t>
      </w:r>
      <w:r w:rsidR="007D514F">
        <w:t>n</w:t>
      </w:r>
      <w:proofErr w:type="spellEnd"/>
      <w:r w:rsidR="007D514F">
        <w:t xml:space="preserve"> dans une approche holistique et préventive de la santé animale.</w:t>
      </w:r>
    </w:p>
    <w:p w14:paraId="6B0CF447" w14:textId="77777777" w:rsidR="00E2542A" w:rsidRDefault="00000000">
      <w:pPr>
        <w:spacing w:before="120" w:after="360"/>
        <w:jc w:val="both"/>
      </w:pPr>
      <w:r>
        <w:rPr>
          <w:b/>
          <w:bCs/>
        </w:rPr>
        <w:t xml:space="preserve">Mots-clés : </w:t>
      </w:r>
      <w:r>
        <w:t xml:space="preserve">maladies vectorielles à tiques — </w:t>
      </w:r>
      <w:r>
        <w:rPr>
          <w:i/>
          <w:iCs/>
        </w:rPr>
        <w:t xml:space="preserve">Ixodes </w:t>
      </w:r>
      <w:proofErr w:type="spellStart"/>
      <w:r>
        <w:rPr>
          <w:i/>
          <w:iCs/>
        </w:rPr>
        <w:t>ricinus</w:t>
      </w:r>
      <w:proofErr w:type="spellEnd"/>
      <w:r>
        <w:t xml:space="preserve"> — </w:t>
      </w:r>
      <w:proofErr w:type="spellStart"/>
      <w:r>
        <w:rPr>
          <w:i/>
          <w:iCs/>
        </w:rPr>
        <w:t>Anaplasma</w:t>
      </w:r>
      <w:proofErr w:type="spellEnd"/>
      <w:r>
        <w:rPr>
          <w:i/>
          <w:iCs/>
        </w:rPr>
        <w:t xml:space="preserve"> </w:t>
      </w:r>
      <w:proofErr w:type="spellStart"/>
      <w:r>
        <w:rPr>
          <w:i/>
          <w:iCs/>
        </w:rPr>
        <w:t>phagocytophilum</w:t>
      </w:r>
      <w:proofErr w:type="spellEnd"/>
      <w:r>
        <w:t xml:space="preserve"> — ehrlichiose — élevage bovin — One Health — surveillance épidémiologique.</w:t>
      </w:r>
    </w:p>
    <w:p w14:paraId="743041EA" w14:textId="77777777" w:rsidR="0052028A" w:rsidRPr="00324225" w:rsidRDefault="0052028A" w:rsidP="0052028A">
      <w:pPr>
        <w:spacing w:before="100" w:beforeAutospacing="1" w:after="100" w:afterAutospacing="1"/>
        <w:jc w:val="both"/>
        <w:outlineLvl w:val="1"/>
        <w:rPr>
          <w:rFonts w:eastAsia="Times New Roman" w:cs="Times New Roman"/>
          <w:b/>
          <w:bCs/>
          <w:sz w:val="36"/>
          <w:szCs w:val="36"/>
          <w:lang w:val="en-US"/>
        </w:rPr>
      </w:pPr>
      <w:r w:rsidRPr="00324225">
        <w:rPr>
          <w:rFonts w:eastAsia="Times New Roman" w:cs="Times New Roman"/>
          <w:b/>
          <w:bCs/>
          <w:sz w:val="36"/>
          <w:szCs w:val="36"/>
          <w:lang w:val="en-US"/>
        </w:rPr>
        <w:lastRenderedPageBreak/>
        <w:t>Vector pressure and circulation of tick-borne pathogens in cattle farming: a pioneering departmental study in the Vosges (France)</w:t>
      </w:r>
    </w:p>
    <w:p w14:paraId="5545BEED" w14:textId="77777777" w:rsidR="007A4B0F" w:rsidRDefault="007A4B0F" w:rsidP="007A4B0F">
      <w:pPr>
        <w:spacing w:after="120"/>
      </w:pPr>
      <w:r>
        <w:rPr>
          <w:b/>
          <w:bCs/>
        </w:rPr>
        <w:t>MAXANT-PUCCIO A.</w:t>
      </w:r>
      <w:r>
        <w:t xml:space="preserve">¹, </w:t>
      </w:r>
      <w:r>
        <w:rPr>
          <w:b/>
          <w:bCs/>
        </w:rPr>
        <w:t>HAAS C.</w:t>
      </w:r>
      <w:r>
        <w:t xml:space="preserve">¹, </w:t>
      </w:r>
      <w:r>
        <w:rPr>
          <w:b/>
          <w:bCs/>
        </w:rPr>
        <w:t>DURAND J.</w:t>
      </w:r>
      <w:r>
        <w:t xml:space="preserve">², </w:t>
      </w:r>
      <w:r>
        <w:rPr>
          <w:b/>
          <w:bCs/>
        </w:rPr>
        <w:t>MOUTAILLER S.</w:t>
      </w:r>
      <w:r>
        <w:t xml:space="preserve">³, </w:t>
      </w:r>
      <w:r>
        <w:rPr>
          <w:i/>
          <w:iCs/>
        </w:rPr>
        <w:t>et al.</w:t>
      </w:r>
    </w:p>
    <w:p w14:paraId="60A0B16E" w14:textId="77777777" w:rsidR="007A4B0F" w:rsidRDefault="0052028A" w:rsidP="007A4B0F">
      <w:pPr>
        <w:jc w:val="both"/>
        <w:rPr>
          <w:rFonts w:eastAsia="Times New Roman" w:cs="Times New Roman"/>
          <w:sz w:val="24"/>
          <w:szCs w:val="24"/>
        </w:rPr>
      </w:pPr>
      <w:proofErr w:type="gramStart"/>
      <w:r w:rsidRPr="0052028A">
        <w:rPr>
          <w:rFonts w:eastAsia="Times New Roman" w:cs="Times New Roman"/>
          <w:sz w:val="24"/>
          <w:szCs w:val="24"/>
        </w:rPr>
        <w:t>¹</w:t>
      </w:r>
      <w:proofErr w:type="gramEnd"/>
      <w:r w:rsidRPr="0052028A">
        <w:rPr>
          <w:rFonts w:eastAsia="Times New Roman" w:cs="Times New Roman"/>
          <w:sz w:val="24"/>
          <w:szCs w:val="24"/>
        </w:rPr>
        <w:t xml:space="preserve"> </w:t>
      </w:r>
      <w:r w:rsidRPr="0052028A">
        <w:rPr>
          <w:rFonts w:eastAsia="Times New Roman" w:cs="Times New Roman"/>
          <w:i/>
          <w:iCs/>
          <w:sz w:val="24"/>
          <w:szCs w:val="24"/>
        </w:rPr>
        <w:t>Groupement de Défense Sanitaire des Vosges, Épinal, France</w:t>
      </w:r>
      <w:r w:rsidRPr="0052028A">
        <w:rPr>
          <w:rFonts w:eastAsia="Times New Roman" w:cs="Times New Roman"/>
          <w:sz w:val="24"/>
          <w:szCs w:val="24"/>
        </w:rPr>
        <w:t xml:space="preserve"> </w:t>
      </w:r>
    </w:p>
    <w:p w14:paraId="61BC07F3" w14:textId="77777777" w:rsidR="007A4B0F" w:rsidRDefault="0052028A" w:rsidP="007A4B0F">
      <w:pPr>
        <w:jc w:val="both"/>
        <w:rPr>
          <w:rFonts w:eastAsia="Times New Roman" w:cs="Times New Roman"/>
          <w:sz w:val="24"/>
          <w:szCs w:val="24"/>
        </w:rPr>
      </w:pPr>
      <w:proofErr w:type="gramStart"/>
      <w:r w:rsidRPr="0052028A">
        <w:rPr>
          <w:rFonts w:eastAsia="Times New Roman" w:cs="Times New Roman"/>
          <w:sz w:val="24"/>
          <w:szCs w:val="24"/>
        </w:rPr>
        <w:t>²</w:t>
      </w:r>
      <w:proofErr w:type="gramEnd"/>
      <w:r w:rsidRPr="0052028A">
        <w:rPr>
          <w:rFonts w:eastAsia="Times New Roman" w:cs="Times New Roman"/>
          <w:sz w:val="24"/>
          <w:szCs w:val="24"/>
        </w:rPr>
        <w:t xml:space="preserve"> </w:t>
      </w:r>
      <w:proofErr w:type="spellStart"/>
      <w:r w:rsidRPr="0052028A">
        <w:rPr>
          <w:rFonts w:eastAsia="Times New Roman" w:cs="Times New Roman"/>
          <w:i/>
          <w:iCs/>
          <w:sz w:val="24"/>
          <w:szCs w:val="24"/>
        </w:rPr>
        <w:t>CiTIQUE</w:t>
      </w:r>
      <w:proofErr w:type="spellEnd"/>
      <w:r w:rsidRPr="0052028A">
        <w:rPr>
          <w:rFonts w:eastAsia="Times New Roman" w:cs="Times New Roman"/>
          <w:i/>
          <w:iCs/>
          <w:sz w:val="24"/>
          <w:szCs w:val="24"/>
        </w:rPr>
        <w:t xml:space="preserve"> / INRAE Grand Est, UMR IAM — Nancy, France</w:t>
      </w:r>
      <w:r w:rsidRPr="0052028A">
        <w:rPr>
          <w:rFonts w:eastAsia="Times New Roman" w:cs="Times New Roman"/>
          <w:sz w:val="24"/>
          <w:szCs w:val="24"/>
        </w:rPr>
        <w:t xml:space="preserve"> </w:t>
      </w:r>
    </w:p>
    <w:p w14:paraId="3CBD1E23" w14:textId="0FC3B323" w:rsidR="0052028A" w:rsidRPr="007A4B0F" w:rsidRDefault="0052028A" w:rsidP="007A4B0F">
      <w:pPr>
        <w:jc w:val="both"/>
        <w:rPr>
          <w:rFonts w:eastAsia="Times New Roman" w:cs="Times New Roman"/>
          <w:sz w:val="24"/>
          <w:szCs w:val="24"/>
          <w:lang w:val="en-US"/>
        </w:rPr>
      </w:pPr>
      <w:r w:rsidRPr="007A4B0F">
        <w:rPr>
          <w:rFonts w:eastAsia="Times New Roman" w:cs="Times New Roman"/>
          <w:sz w:val="24"/>
          <w:szCs w:val="24"/>
          <w:lang w:val="en-US"/>
        </w:rPr>
        <w:t xml:space="preserve">³ </w:t>
      </w:r>
      <w:r w:rsidRPr="007A4B0F">
        <w:rPr>
          <w:rFonts w:eastAsia="Times New Roman" w:cs="Times New Roman"/>
          <w:i/>
          <w:iCs/>
          <w:sz w:val="24"/>
          <w:szCs w:val="24"/>
          <w:lang w:val="en-US"/>
        </w:rPr>
        <w:t>ANSES, Animal Health Laboratory, UMR BIPAR — Maisons-Alfort, France</w:t>
      </w:r>
    </w:p>
    <w:p w14:paraId="3E39FBDB" w14:textId="77777777" w:rsidR="0052028A" w:rsidRPr="00324225" w:rsidRDefault="0052028A" w:rsidP="0052028A">
      <w:pPr>
        <w:spacing w:before="100" w:beforeAutospacing="1" w:after="100" w:afterAutospacing="1"/>
        <w:jc w:val="both"/>
        <w:outlineLvl w:val="2"/>
        <w:rPr>
          <w:rFonts w:eastAsia="Times New Roman" w:cs="Times New Roman"/>
          <w:b/>
          <w:bCs/>
          <w:sz w:val="27"/>
          <w:szCs w:val="27"/>
          <w:lang w:val="en-US"/>
        </w:rPr>
      </w:pPr>
      <w:r w:rsidRPr="00324225">
        <w:rPr>
          <w:rFonts w:eastAsia="Times New Roman" w:cs="Times New Roman"/>
          <w:b/>
          <w:bCs/>
          <w:sz w:val="27"/>
          <w:szCs w:val="27"/>
          <w:lang w:val="en-US"/>
        </w:rPr>
        <w:t>Abstract</w:t>
      </w:r>
    </w:p>
    <w:p w14:paraId="517FE3EA" w14:textId="77777777" w:rsidR="0052028A" w:rsidRPr="00324225" w:rsidRDefault="0052028A" w:rsidP="0052028A">
      <w:pPr>
        <w:spacing w:before="100" w:beforeAutospacing="1" w:after="100" w:afterAutospacing="1"/>
        <w:jc w:val="both"/>
        <w:rPr>
          <w:rFonts w:eastAsia="Times New Roman" w:cs="Times New Roman"/>
          <w:lang w:val="en-US"/>
        </w:rPr>
      </w:pPr>
      <w:r w:rsidRPr="00324225">
        <w:rPr>
          <w:rFonts w:eastAsia="Times New Roman" w:cs="Times New Roman"/>
          <w:b/>
          <w:bCs/>
          <w:lang w:val="en-US"/>
        </w:rPr>
        <w:t>Background.</w:t>
      </w:r>
      <w:r w:rsidRPr="00324225">
        <w:rPr>
          <w:rFonts w:eastAsia="Times New Roman" w:cs="Times New Roman"/>
          <w:lang w:val="en-US"/>
        </w:rPr>
        <w:t xml:space="preserve"> Tick-borne diseases (TBDs) are expanding across Europe, yet their zootechnical impact in French cattle farming remains poorly </w:t>
      </w:r>
      <w:proofErr w:type="spellStart"/>
      <w:r w:rsidRPr="00324225">
        <w:rPr>
          <w:rFonts w:eastAsia="Times New Roman" w:cs="Times New Roman"/>
          <w:lang w:val="en-US"/>
        </w:rPr>
        <w:t>characterised</w:t>
      </w:r>
      <w:proofErr w:type="spellEnd"/>
      <w:r w:rsidRPr="00324225">
        <w:rPr>
          <w:rFonts w:eastAsia="Times New Roman" w:cs="Times New Roman"/>
          <w:lang w:val="en-US"/>
        </w:rPr>
        <w:t xml:space="preserve">. In the Vosges department (eastern France), data from multiplex abortion panels combined with the observation of unexplained clinical presentations — pyrexia and drop in milk yield without </w:t>
      </w:r>
      <w:proofErr w:type="spellStart"/>
      <w:r w:rsidRPr="00324225">
        <w:rPr>
          <w:rFonts w:eastAsia="Times New Roman" w:cs="Times New Roman"/>
          <w:lang w:val="en-US"/>
        </w:rPr>
        <w:t>objectivable</w:t>
      </w:r>
      <w:proofErr w:type="spellEnd"/>
      <w:r w:rsidRPr="00324225">
        <w:rPr>
          <w:rFonts w:eastAsia="Times New Roman" w:cs="Times New Roman"/>
          <w:lang w:val="en-US"/>
        </w:rPr>
        <w:t xml:space="preserve"> mastitis — prompted a dedicated departmental investigation.</w:t>
      </w:r>
    </w:p>
    <w:p w14:paraId="32575C4E" w14:textId="77777777" w:rsidR="0052028A" w:rsidRPr="00324225" w:rsidRDefault="0052028A" w:rsidP="0052028A">
      <w:pPr>
        <w:spacing w:before="100" w:beforeAutospacing="1" w:after="100" w:afterAutospacing="1"/>
        <w:jc w:val="both"/>
        <w:rPr>
          <w:rFonts w:eastAsia="Times New Roman" w:cs="Times New Roman"/>
          <w:lang w:val="en-US"/>
        </w:rPr>
      </w:pPr>
      <w:r w:rsidRPr="00324225">
        <w:rPr>
          <w:rFonts w:eastAsia="Times New Roman" w:cs="Times New Roman"/>
          <w:b/>
          <w:bCs/>
          <w:lang w:val="en-US"/>
        </w:rPr>
        <w:t>Objectives.</w:t>
      </w:r>
      <w:r w:rsidRPr="00324225">
        <w:rPr>
          <w:rFonts w:eastAsia="Times New Roman" w:cs="Times New Roman"/>
          <w:lang w:val="en-US"/>
        </w:rPr>
        <w:t xml:space="preserve"> (</w:t>
      </w:r>
      <w:proofErr w:type="spellStart"/>
      <w:r w:rsidRPr="00324225">
        <w:rPr>
          <w:rFonts w:eastAsia="Times New Roman" w:cs="Times New Roman"/>
          <w:lang w:val="en-US"/>
        </w:rPr>
        <w:t>i</w:t>
      </w:r>
      <w:proofErr w:type="spellEnd"/>
      <w:r w:rsidRPr="00324225">
        <w:rPr>
          <w:rFonts w:eastAsia="Times New Roman" w:cs="Times New Roman"/>
          <w:lang w:val="en-US"/>
        </w:rPr>
        <w:t>) To quantify tick pressure on pastures, (ii) to document the circulation of tick-borne pathogens both in ticks and in cattle, (iii) to identify environmental and farming-related risk factors, and (iv) to define operational prevention levers applicable at farm level.</w:t>
      </w:r>
    </w:p>
    <w:p w14:paraId="5C7CDD13" w14:textId="77777777" w:rsidR="0052028A" w:rsidRPr="00324225" w:rsidRDefault="0052028A" w:rsidP="0052028A">
      <w:pPr>
        <w:spacing w:before="100" w:beforeAutospacing="1" w:after="100" w:afterAutospacing="1"/>
        <w:jc w:val="both"/>
        <w:rPr>
          <w:rFonts w:eastAsia="Times New Roman" w:cs="Times New Roman"/>
          <w:lang w:val="en-US"/>
        </w:rPr>
      </w:pPr>
      <w:r w:rsidRPr="00324225">
        <w:rPr>
          <w:rFonts w:eastAsia="Times New Roman" w:cs="Times New Roman"/>
          <w:b/>
          <w:bCs/>
          <w:lang w:val="en-US"/>
        </w:rPr>
        <w:t>Methods.</w:t>
      </w:r>
      <w:r w:rsidRPr="00324225">
        <w:rPr>
          <w:rFonts w:eastAsia="Times New Roman" w:cs="Times New Roman"/>
          <w:lang w:val="en-US"/>
        </w:rPr>
        <w:t xml:space="preserve"> A field study was conducted from April to July 2025 across 29 cattle farms distributed over 10 cantons in the Vosges. Questing ticks were collected by the </w:t>
      </w:r>
      <w:r w:rsidRPr="00324225">
        <w:rPr>
          <w:rFonts w:eastAsia="Times New Roman" w:cs="Times New Roman"/>
          <w:b/>
          <w:bCs/>
          <w:lang w:val="en-US"/>
        </w:rPr>
        <w:t>flagging method</w:t>
      </w:r>
      <w:r w:rsidRPr="00324225">
        <w:rPr>
          <w:rFonts w:eastAsia="Times New Roman" w:cs="Times New Roman"/>
          <w:lang w:val="en-US"/>
        </w:rPr>
        <w:t xml:space="preserve"> on one representative pasture per farm (10 transects of 10 m²). Blood samples were obtained from </w:t>
      </w:r>
      <w:r w:rsidRPr="00324225">
        <w:rPr>
          <w:rFonts w:eastAsia="Times New Roman" w:cs="Times New Roman"/>
          <w:b/>
          <w:bCs/>
          <w:lang w:val="en-US"/>
        </w:rPr>
        <w:t>474 cattle</w:t>
      </w:r>
      <w:r w:rsidRPr="00324225">
        <w:rPr>
          <w:rFonts w:eastAsia="Times New Roman" w:cs="Times New Roman"/>
          <w:lang w:val="en-US"/>
        </w:rPr>
        <w:t xml:space="preserve"> (277 for serological assays — ELISA for </w:t>
      </w:r>
      <w:r w:rsidRPr="00324225">
        <w:rPr>
          <w:rFonts w:eastAsia="Times New Roman" w:cs="Times New Roman"/>
          <w:i/>
          <w:iCs/>
          <w:lang w:val="en-US"/>
        </w:rPr>
        <w:t>Borrelia burgdorferi</w:t>
      </w:r>
      <w:r w:rsidRPr="00324225">
        <w:rPr>
          <w:rFonts w:eastAsia="Times New Roman" w:cs="Times New Roman"/>
          <w:lang w:val="en-US"/>
        </w:rPr>
        <w:t xml:space="preserve"> </w:t>
      </w:r>
      <w:proofErr w:type="spellStart"/>
      <w:r w:rsidRPr="00324225">
        <w:rPr>
          <w:rFonts w:eastAsia="Times New Roman" w:cs="Times New Roman"/>
          <w:lang w:val="en-US"/>
        </w:rPr>
        <w:t>s.l.</w:t>
      </w:r>
      <w:proofErr w:type="spellEnd"/>
      <w:r w:rsidRPr="00324225">
        <w:rPr>
          <w:rFonts w:eastAsia="Times New Roman" w:cs="Times New Roman"/>
          <w:lang w:val="en-US"/>
        </w:rPr>
        <w:t xml:space="preserve"> and indirect immunofluorescence for </w:t>
      </w:r>
      <w:proofErr w:type="spellStart"/>
      <w:r w:rsidRPr="00324225">
        <w:rPr>
          <w:rFonts w:eastAsia="Times New Roman" w:cs="Times New Roman"/>
          <w:i/>
          <w:iCs/>
          <w:lang w:val="en-US"/>
        </w:rPr>
        <w:t>Anaplasma</w:t>
      </w:r>
      <w:proofErr w:type="spellEnd"/>
      <w:r w:rsidRPr="00324225">
        <w:rPr>
          <w:rFonts w:eastAsia="Times New Roman" w:cs="Times New Roman"/>
          <w:i/>
          <w:iCs/>
          <w:lang w:val="en-US"/>
        </w:rPr>
        <w:t xml:space="preserve"> </w:t>
      </w:r>
      <w:proofErr w:type="spellStart"/>
      <w:r w:rsidRPr="00324225">
        <w:rPr>
          <w:rFonts w:eastAsia="Times New Roman" w:cs="Times New Roman"/>
          <w:i/>
          <w:iCs/>
          <w:lang w:val="en-US"/>
        </w:rPr>
        <w:t>phagocytophilum</w:t>
      </w:r>
      <w:proofErr w:type="spellEnd"/>
      <w:r w:rsidRPr="00324225">
        <w:rPr>
          <w:rFonts w:eastAsia="Times New Roman" w:cs="Times New Roman"/>
          <w:lang w:val="en-US"/>
        </w:rPr>
        <w:t xml:space="preserve">; 197 for high-throughput real-time multiplex PCR targeting </w:t>
      </w:r>
      <w:r w:rsidRPr="00324225">
        <w:rPr>
          <w:rFonts w:eastAsia="Times New Roman" w:cs="Times New Roman"/>
          <w:b/>
          <w:bCs/>
          <w:lang w:val="en-US"/>
        </w:rPr>
        <w:t>44 tick-borne pathogens</w:t>
      </w:r>
      <w:r w:rsidRPr="00324225">
        <w:rPr>
          <w:rFonts w:eastAsia="Times New Roman" w:cs="Times New Roman"/>
          <w:lang w:val="en-US"/>
        </w:rPr>
        <w:t>). A structured questionnaire was administered to all participating farmers. Analyses were performed by LDVA88, LDA 24 and ANSES-BIPAR.</w:t>
      </w:r>
    </w:p>
    <w:p w14:paraId="3D39F958" w14:textId="77777777" w:rsidR="0052028A" w:rsidRPr="00324225" w:rsidRDefault="0052028A" w:rsidP="0052028A">
      <w:pPr>
        <w:spacing w:before="100" w:beforeAutospacing="1" w:after="100" w:afterAutospacing="1"/>
        <w:jc w:val="both"/>
        <w:rPr>
          <w:rFonts w:eastAsia="Times New Roman" w:cs="Times New Roman"/>
          <w:lang w:val="en-US"/>
        </w:rPr>
      </w:pPr>
      <w:r w:rsidRPr="00324225">
        <w:rPr>
          <w:rFonts w:eastAsia="Times New Roman" w:cs="Times New Roman"/>
          <w:b/>
          <w:bCs/>
          <w:lang w:val="en-US"/>
        </w:rPr>
        <w:t>Results.</w:t>
      </w:r>
      <w:r w:rsidRPr="00324225">
        <w:rPr>
          <w:rFonts w:eastAsia="Times New Roman" w:cs="Times New Roman"/>
          <w:lang w:val="en-US"/>
        </w:rPr>
        <w:t xml:space="preserve"> The mean vector pressure reached </w:t>
      </w:r>
      <w:r w:rsidRPr="00324225">
        <w:rPr>
          <w:rFonts w:eastAsia="Times New Roman" w:cs="Times New Roman"/>
          <w:b/>
          <w:bCs/>
          <w:lang w:val="en-US"/>
        </w:rPr>
        <w:t>940 ticks/ha</w:t>
      </w:r>
      <w:r w:rsidRPr="00324225">
        <w:rPr>
          <w:rFonts w:eastAsia="Times New Roman" w:cs="Times New Roman"/>
          <w:lang w:val="en-US"/>
        </w:rPr>
        <w:t xml:space="preserve">, peaking at 1,500 ticks/ha in spring. </w:t>
      </w:r>
      <w:r w:rsidRPr="00324225">
        <w:rPr>
          <w:rFonts w:eastAsia="Times New Roman" w:cs="Times New Roman"/>
          <w:b/>
          <w:bCs/>
          <w:i/>
          <w:iCs/>
          <w:lang w:val="en-US"/>
        </w:rPr>
        <w:t xml:space="preserve">Ixodes </w:t>
      </w:r>
      <w:proofErr w:type="spellStart"/>
      <w:r w:rsidRPr="00324225">
        <w:rPr>
          <w:rFonts w:eastAsia="Times New Roman" w:cs="Times New Roman"/>
          <w:b/>
          <w:bCs/>
          <w:i/>
          <w:iCs/>
          <w:lang w:val="en-US"/>
        </w:rPr>
        <w:t>ricinus</w:t>
      </w:r>
      <w:proofErr w:type="spellEnd"/>
      <w:r w:rsidRPr="00324225">
        <w:rPr>
          <w:rFonts w:eastAsia="Times New Roman" w:cs="Times New Roman"/>
          <w:lang w:val="en-US"/>
        </w:rPr>
        <w:t xml:space="preserve"> accounted for </w:t>
      </w:r>
      <w:r w:rsidRPr="00324225">
        <w:rPr>
          <w:rFonts w:eastAsia="Times New Roman" w:cs="Times New Roman"/>
          <w:b/>
          <w:bCs/>
          <w:lang w:val="en-US"/>
        </w:rPr>
        <w:t>91 %</w:t>
      </w:r>
      <w:r w:rsidRPr="00324225">
        <w:rPr>
          <w:rFonts w:eastAsia="Times New Roman" w:cs="Times New Roman"/>
          <w:lang w:val="en-US"/>
        </w:rPr>
        <w:t xml:space="preserve"> of the collected ticks, with </w:t>
      </w:r>
      <w:r w:rsidRPr="00324225">
        <w:rPr>
          <w:rFonts w:eastAsia="Times New Roman" w:cs="Times New Roman"/>
          <w:i/>
          <w:iCs/>
          <w:lang w:val="en-US"/>
        </w:rPr>
        <w:t>Dermacentor reticulatus</w:t>
      </w:r>
      <w:r w:rsidRPr="00324225">
        <w:rPr>
          <w:rFonts w:eastAsia="Times New Roman" w:cs="Times New Roman"/>
          <w:lang w:val="en-US"/>
        </w:rPr>
        <w:t xml:space="preserve"> representing the remainder. Among pooled tick homogenates </w:t>
      </w:r>
      <w:proofErr w:type="spellStart"/>
      <w:r w:rsidRPr="00324225">
        <w:rPr>
          <w:rFonts w:eastAsia="Times New Roman" w:cs="Times New Roman"/>
          <w:lang w:val="en-US"/>
        </w:rPr>
        <w:t>analysed</w:t>
      </w:r>
      <w:proofErr w:type="spellEnd"/>
      <w:r w:rsidRPr="00324225">
        <w:rPr>
          <w:rFonts w:eastAsia="Times New Roman" w:cs="Times New Roman"/>
          <w:lang w:val="en-US"/>
        </w:rPr>
        <w:t xml:space="preserve"> by multiplex PCR, </w:t>
      </w:r>
      <w:proofErr w:type="spellStart"/>
      <w:r w:rsidRPr="00324225">
        <w:rPr>
          <w:rFonts w:eastAsia="Times New Roman" w:cs="Times New Roman"/>
          <w:b/>
          <w:bCs/>
          <w:i/>
          <w:iCs/>
          <w:lang w:val="en-US"/>
        </w:rPr>
        <w:t>Anaplasma</w:t>
      </w:r>
      <w:proofErr w:type="spellEnd"/>
      <w:r w:rsidRPr="00324225">
        <w:rPr>
          <w:rFonts w:eastAsia="Times New Roman" w:cs="Times New Roman"/>
          <w:lang w:val="en-US"/>
        </w:rPr>
        <w:t xml:space="preserve"> </w:t>
      </w:r>
      <w:r w:rsidRPr="00324225">
        <w:rPr>
          <w:rFonts w:eastAsia="Times New Roman" w:cs="Times New Roman"/>
          <w:b/>
          <w:bCs/>
          <w:lang w:val="en-US"/>
        </w:rPr>
        <w:t>spp.</w:t>
      </w:r>
      <w:r w:rsidRPr="00324225">
        <w:rPr>
          <w:rFonts w:eastAsia="Times New Roman" w:cs="Times New Roman"/>
          <w:lang w:val="en-US"/>
        </w:rPr>
        <w:t xml:space="preserve"> was detected in </w:t>
      </w:r>
      <w:r w:rsidRPr="00324225">
        <w:rPr>
          <w:rFonts w:eastAsia="Times New Roman" w:cs="Times New Roman"/>
          <w:b/>
          <w:bCs/>
          <w:lang w:val="en-US"/>
        </w:rPr>
        <w:t>64 %</w:t>
      </w:r>
      <w:r w:rsidRPr="00324225">
        <w:rPr>
          <w:rFonts w:eastAsia="Times New Roman" w:cs="Times New Roman"/>
          <w:lang w:val="en-US"/>
        </w:rPr>
        <w:t xml:space="preserve"> of positive pools, </w:t>
      </w:r>
      <w:r w:rsidRPr="00324225">
        <w:rPr>
          <w:rFonts w:eastAsia="Times New Roman" w:cs="Times New Roman"/>
          <w:b/>
          <w:bCs/>
          <w:i/>
          <w:iCs/>
          <w:lang w:val="en-US"/>
        </w:rPr>
        <w:t>Borrelia</w:t>
      </w:r>
      <w:r w:rsidRPr="00324225">
        <w:rPr>
          <w:rFonts w:eastAsia="Times New Roman" w:cs="Times New Roman"/>
          <w:lang w:val="en-US"/>
        </w:rPr>
        <w:t xml:space="preserve"> </w:t>
      </w:r>
      <w:r w:rsidRPr="00324225">
        <w:rPr>
          <w:rFonts w:eastAsia="Times New Roman" w:cs="Times New Roman"/>
          <w:b/>
          <w:bCs/>
          <w:lang w:val="en-US"/>
        </w:rPr>
        <w:t>spp.</w:t>
      </w:r>
      <w:r w:rsidRPr="00324225">
        <w:rPr>
          <w:rFonts w:eastAsia="Times New Roman" w:cs="Times New Roman"/>
          <w:lang w:val="en-US"/>
        </w:rPr>
        <w:t xml:space="preserve"> in </w:t>
      </w:r>
      <w:r w:rsidRPr="00324225">
        <w:rPr>
          <w:rFonts w:eastAsia="Times New Roman" w:cs="Times New Roman"/>
          <w:b/>
          <w:bCs/>
          <w:lang w:val="en-US"/>
        </w:rPr>
        <w:t>59 %</w:t>
      </w:r>
      <w:r w:rsidRPr="00324225">
        <w:rPr>
          <w:rFonts w:eastAsia="Times New Roman" w:cs="Times New Roman"/>
          <w:lang w:val="en-US"/>
        </w:rPr>
        <w:t xml:space="preserve">, </w:t>
      </w:r>
      <w:r w:rsidRPr="00324225">
        <w:rPr>
          <w:rFonts w:eastAsia="Times New Roman" w:cs="Times New Roman"/>
          <w:b/>
          <w:bCs/>
          <w:i/>
          <w:iCs/>
          <w:lang w:val="en-US"/>
        </w:rPr>
        <w:t>Rickettsia</w:t>
      </w:r>
      <w:r w:rsidRPr="00324225">
        <w:rPr>
          <w:rFonts w:eastAsia="Times New Roman" w:cs="Times New Roman"/>
          <w:lang w:val="en-US"/>
        </w:rPr>
        <w:t xml:space="preserve"> </w:t>
      </w:r>
      <w:r w:rsidRPr="00324225">
        <w:rPr>
          <w:rFonts w:eastAsia="Times New Roman" w:cs="Times New Roman"/>
          <w:b/>
          <w:bCs/>
          <w:lang w:val="en-US"/>
        </w:rPr>
        <w:t>spp.</w:t>
      </w:r>
      <w:r w:rsidRPr="00324225">
        <w:rPr>
          <w:rFonts w:eastAsia="Times New Roman" w:cs="Times New Roman"/>
          <w:lang w:val="en-US"/>
        </w:rPr>
        <w:t xml:space="preserve"> in </w:t>
      </w:r>
      <w:r w:rsidRPr="00324225">
        <w:rPr>
          <w:rFonts w:eastAsia="Times New Roman" w:cs="Times New Roman"/>
          <w:b/>
          <w:bCs/>
          <w:lang w:val="en-US"/>
        </w:rPr>
        <w:t>59 %</w:t>
      </w:r>
      <w:r w:rsidRPr="00324225">
        <w:rPr>
          <w:rFonts w:eastAsia="Times New Roman" w:cs="Times New Roman"/>
          <w:lang w:val="en-US"/>
        </w:rPr>
        <w:t xml:space="preserve">, and </w:t>
      </w:r>
      <w:proofErr w:type="spellStart"/>
      <w:r w:rsidRPr="00324225">
        <w:rPr>
          <w:rFonts w:eastAsia="Times New Roman" w:cs="Times New Roman"/>
          <w:b/>
          <w:bCs/>
          <w:i/>
          <w:iCs/>
          <w:lang w:val="en-US"/>
        </w:rPr>
        <w:t>Ehrlichia</w:t>
      </w:r>
      <w:proofErr w:type="spellEnd"/>
      <w:r w:rsidRPr="00324225">
        <w:rPr>
          <w:rFonts w:eastAsia="Times New Roman" w:cs="Times New Roman"/>
          <w:lang w:val="en-US"/>
        </w:rPr>
        <w:t xml:space="preserve"> </w:t>
      </w:r>
      <w:r w:rsidRPr="00324225">
        <w:rPr>
          <w:rFonts w:eastAsia="Times New Roman" w:cs="Times New Roman"/>
          <w:b/>
          <w:bCs/>
          <w:lang w:val="en-US"/>
        </w:rPr>
        <w:t>spp.</w:t>
      </w:r>
      <w:r w:rsidRPr="00324225">
        <w:rPr>
          <w:rFonts w:eastAsia="Times New Roman" w:cs="Times New Roman"/>
          <w:lang w:val="en-US"/>
        </w:rPr>
        <w:t xml:space="preserve"> in </w:t>
      </w:r>
      <w:r w:rsidRPr="00324225">
        <w:rPr>
          <w:rFonts w:eastAsia="Times New Roman" w:cs="Times New Roman"/>
          <w:b/>
          <w:bCs/>
          <w:lang w:val="en-US"/>
        </w:rPr>
        <w:t>23 %</w:t>
      </w:r>
      <w:r w:rsidRPr="00324225">
        <w:rPr>
          <w:rFonts w:eastAsia="Times New Roman" w:cs="Times New Roman"/>
          <w:lang w:val="en-US"/>
        </w:rPr>
        <w:t xml:space="preserve">. </w:t>
      </w:r>
      <w:r w:rsidRPr="00324225">
        <w:rPr>
          <w:rFonts w:eastAsia="Times New Roman" w:cs="Times New Roman"/>
          <w:b/>
          <w:bCs/>
          <w:i/>
          <w:iCs/>
          <w:lang w:val="en-US"/>
        </w:rPr>
        <w:t xml:space="preserve">Coxiella </w:t>
      </w:r>
      <w:proofErr w:type="spellStart"/>
      <w:r w:rsidRPr="00324225">
        <w:rPr>
          <w:rFonts w:eastAsia="Times New Roman" w:cs="Times New Roman"/>
          <w:b/>
          <w:bCs/>
          <w:i/>
          <w:iCs/>
          <w:lang w:val="en-US"/>
        </w:rPr>
        <w:t>burnetii</w:t>
      </w:r>
      <w:proofErr w:type="spellEnd"/>
      <w:r w:rsidRPr="00324225">
        <w:rPr>
          <w:rFonts w:eastAsia="Times New Roman" w:cs="Times New Roman"/>
          <w:lang w:val="en-US"/>
        </w:rPr>
        <w:t xml:space="preserve"> </w:t>
      </w:r>
      <w:r w:rsidRPr="00324225">
        <w:rPr>
          <w:rFonts w:eastAsia="Times New Roman" w:cs="Times New Roman"/>
          <w:b/>
          <w:bCs/>
          <w:lang w:val="en-US"/>
        </w:rPr>
        <w:t>was not detected</w:t>
      </w:r>
      <w:r w:rsidRPr="00324225">
        <w:rPr>
          <w:rFonts w:eastAsia="Times New Roman" w:cs="Times New Roman"/>
          <w:lang w:val="en-US"/>
        </w:rPr>
        <w:t xml:space="preserve"> in any tick pool. Serologically, </w:t>
      </w:r>
      <w:r w:rsidRPr="00324225">
        <w:rPr>
          <w:rFonts w:eastAsia="Times New Roman" w:cs="Times New Roman"/>
          <w:b/>
          <w:bCs/>
          <w:lang w:val="en-US"/>
        </w:rPr>
        <w:t>76 % of the herds</w:t>
      </w:r>
      <w:r w:rsidRPr="00324225">
        <w:rPr>
          <w:rFonts w:eastAsia="Times New Roman" w:cs="Times New Roman"/>
          <w:lang w:val="en-US"/>
        </w:rPr>
        <w:t xml:space="preserve"> had at least one bovine seropositive for </w:t>
      </w:r>
      <w:r w:rsidRPr="00324225">
        <w:rPr>
          <w:rFonts w:eastAsia="Times New Roman" w:cs="Times New Roman"/>
          <w:i/>
          <w:iCs/>
          <w:lang w:val="en-US"/>
        </w:rPr>
        <w:t xml:space="preserve">A. </w:t>
      </w:r>
      <w:proofErr w:type="spellStart"/>
      <w:r w:rsidRPr="00324225">
        <w:rPr>
          <w:rFonts w:eastAsia="Times New Roman" w:cs="Times New Roman"/>
          <w:i/>
          <w:iCs/>
          <w:lang w:val="en-US"/>
        </w:rPr>
        <w:t>phagocytophilum</w:t>
      </w:r>
      <w:proofErr w:type="spellEnd"/>
      <w:r w:rsidRPr="00324225">
        <w:rPr>
          <w:rFonts w:eastAsia="Times New Roman" w:cs="Times New Roman"/>
          <w:lang w:val="en-US"/>
        </w:rPr>
        <w:t xml:space="preserve">. Self-reported data indicated that </w:t>
      </w:r>
      <w:r w:rsidRPr="00324225">
        <w:rPr>
          <w:rFonts w:eastAsia="Times New Roman" w:cs="Times New Roman"/>
          <w:b/>
          <w:bCs/>
          <w:lang w:val="en-US"/>
        </w:rPr>
        <w:t>97 % of farmers</w:t>
      </w:r>
      <w:r w:rsidRPr="00324225">
        <w:rPr>
          <w:rFonts w:eastAsia="Times New Roman" w:cs="Times New Roman"/>
          <w:lang w:val="en-US"/>
        </w:rPr>
        <w:t xml:space="preserve"> had been bitten by ticks, yet only </w:t>
      </w:r>
      <w:r w:rsidRPr="00324225">
        <w:rPr>
          <w:rFonts w:eastAsia="Times New Roman" w:cs="Times New Roman"/>
          <w:b/>
          <w:bCs/>
          <w:lang w:val="en-US"/>
        </w:rPr>
        <w:t>34 %</w:t>
      </w:r>
      <w:r w:rsidRPr="00324225">
        <w:rPr>
          <w:rFonts w:eastAsia="Times New Roman" w:cs="Times New Roman"/>
          <w:lang w:val="en-US"/>
        </w:rPr>
        <w:t xml:space="preserve"> were aware of bovine granulocytic anaplasmosis.</w:t>
      </w:r>
    </w:p>
    <w:p w14:paraId="741F7DD5" w14:textId="77777777" w:rsidR="0052028A" w:rsidRPr="00324225" w:rsidRDefault="0052028A" w:rsidP="0052028A">
      <w:pPr>
        <w:spacing w:before="100" w:beforeAutospacing="1" w:after="100" w:afterAutospacing="1"/>
        <w:jc w:val="both"/>
        <w:rPr>
          <w:rFonts w:eastAsia="Times New Roman" w:cs="Times New Roman"/>
          <w:lang w:val="en-US"/>
        </w:rPr>
      </w:pPr>
      <w:r w:rsidRPr="00324225">
        <w:rPr>
          <w:rFonts w:eastAsia="Times New Roman" w:cs="Times New Roman"/>
          <w:b/>
          <w:bCs/>
          <w:lang w:val="en-US"/>
        </w:rPr>
        <w:t>Conclusion.</w:t>
      </w:r>
      <w:r w:rsidRPr="00324225">
        <w:rPr>
          <w:rFonts w:eastAsia="Times New Roman" w:cs="Times New Roman"/>
          <w:lang w:val="en-US"/>
        </w:rPr>
        <w:t xml:space="preserve"> Tick-borne diseases represent an underestimated animal health issue in Vosges cattle farming. </w:t>
      </w:r>
      <w:proofErr w:type="spellStart"/>
      <w:r w:rsidRPr="00324225">
        <w:rPr>
          <w:rFonts w:eastAsia="Times New Roman" w:cs="Times New Roman"/>
          <w:b/>
          <w:bCs/>
          <w:i/>
          <w:iCs/>
          <w:lang w:val="en-US"/>
        </w:rPr>
        <w:t>Anaplasma</w:t>
      </w:r>
      <w:proofErr w:type="spellEnd"/>
      <w:r w:rsidRPr="00324225">
        <w:rPr>
          <w:rFonts w:eastAsia="Times New Roman" w:cs="Times New Roman"/>
          <w:b/>
          <w:bCs/>
          <w:i/>
          <w:iCs/>
          <w:lang w:val="en-US"/>
        </w:rPr>
        <w:t xml:space="preserve"> </w:t>
      </w:r>
      <w:proofErr w:type="spellStart"/>
      <w:r w:rsidRPr="00324225">
        <w:rPr>
          <w:rFonts w:eastAsia="Times New Roman" w:cs="Times New Roman"/>
          <w:b/>
          <w:bCs/>
          <w:i/>
          <w:iCs/>
          <w:lang w:val="en-US"/>
        </w:rPr>
        <w:t>phagocytophilum</w:t>
      </w:r>
      <w:proofErr w:type="spellEnd"/>
      <w:r w:rsidRPr="00324225">
        <w:rPr>
          <w:rFonts w:eastAsia="Times New Roman" w:cs="Times New Roman"/>
          <w:lang w:val="en-US"/>
        </w:rPr>
        <w:t xml:space="preserve">, readily detectable through the multiplex abortion panel, emerges as a </w:t>
      </w:r>
      <w:r w:rsidRPr="00324225">
        <w:rPr>
          <w:rFonts w:eastAsia="Times New Roman" w:cs="Times New Roman"/>
          <w:b/>
          <w:bCs/>
          <w:lang w:val="en-US"/>
        </w:rPr>
        <w:t>relevant sentinel marker</w:t>
      </w:r>
      <w:r w:rsidRPr="00324225">
        <w:rPr>
          <w:rFonts w:eastAsia="Times New Roman" w:cs="Times New Roman"/>
          <w:lang w:val="en-US"/>
        </w:rPr>
        <w:t xml:space="preserve"> of overall vector pressure. A </w:t>
      </w:r>
      <w:r w:rsidRPr="00324225">
        <w:rPr>
          <w:rFonts w:eastAsia="Times New Roman" w:cs="Times New Roman"/>
          <w:b/>
          <w:bCs/>
          <w:lang w:val="en-US"/>
        </w:rPr>
        <w:t>One Health approach</w:t>
      </w:r>
      <w:r w:rsidRPr="00324225">
        <w:rPr>
          <w:rFonts w:eastAsia="Times New Roman" w:cs="Times New Roman"/>
          <w:lang w:val="en-US"/>
        </w:rPr>
        <w:t>, together with active involvement of field veterinarians in surveillance and prevention, constitutes a central lever to support cattle farms in a holistic and preventive animal health strategy.</w:t>
      </w:r>
    </w:p>
    <w:p w14:paraId="023177B3" w14:textId="338CB891" w:rsidR="0052028A" w:rsidRPr="00324225" w:rsidRDefault="0052028A" w:rsidP="0052028A">
      <w:pPr>
        <w:spacing w:before="100" w:beforeAutospacing="1" w:after="100" w:afterAutospacing="1"/>
        <w:jc w:val="both"/>
        <w:rPr>
          <w:rFonts w:ascii="Times New Roman" w:eastAsia="Times New Roman" w:hAnsi="Times New Roman" w:cs="Times New Roman"/>
          <w:lang w:val="en-US"/>
        </w:rPr>
      </w:pPr>
      <w:r w:rsidRPr="00324225">
        <w:rPr>
          <w:rFonts w:eastAsia="Times New Roman" w:cs="Times New Roman"/>
          <w:b/>
          <w:bCs/>
          <w:lang w:val="en-US"/>
        </w:rPr>
        <w:t>Keywords:</w:t>
      </w:r>
      <w:r w:rsidRPr="00324225">
        <w:rPr>
          <w:rFonts w:eastAsia="Times New Roman" w:cs="Times New Roman"/>
          <w:lang w:val="en-US"/>
        </w:rPr>
        <w:t xml:space="preserve"> tick-borne diseases — </w:t>
      </w:r>
      <w:r w:rsidRPr="00324225">
        <w:rPr>
          <w:rFonts w:eastAsia="Times New Roman" w:cs="Times New Roman"/>
          <w:i/>
          <w:iCs/>
          <w:lang w:val="en-US"/>
        </w:rPr>
        <w:t xml:space="preserve">Ixodes </w:t>
      </w:r>
      <w:proofErr w:type="spellStart"/>
      <w:r w:rsidRPr="00324225">
        <w:rPr>
          <w:rFonts w:eastAsia="Times New Roman" w:cs="Times New Roman"/>
          <w:i/>
          <w:iCs/>
          <w:lang w:val="en-US"/>
        </w:rPr>
        <w:t>ricinus</w:t>
      </w:r>
      <w:proofErr w:type="spellEnd"/>
      <w:r w:rsidRPr="00324225">
        <w:rPr>
          <w:rFonts w:eastAsia="Times New Roman" w:cs="Times New Roman"/>
          <w:lang w:val="en-US"/>
        </w:rPr>
        <w:t xml:space="preserve"> — </w:t>
      </w:r>
      <w:proofErr w:type="spellStart"/>
      <w:r w:rsidRPr="00324225">
        <w:rPr>
          <w:rFonts w:eastAsia="Times New Roman" w:cs="Times New Roman"/>
          <w:i/>
          <w:iCs/>
          <w:lang w:val="en-US"/>
        </w:rPr>
        <w:t>Anaplasma</w:t>
      </w:r>
      <w:proofErr w:type="spellEnd"/>
      <w:r w:rsidRPr="00324225">
        <w:rPr>
          <w:rFonts w:eastAsia="Times New Roman" w:cs="Times New Roman"/>
          <w:i/>
          <w:iCs/>
          <w:lang w:val="en-US"/>
        </w:rPr>
        <w:t xml:space="preserve"> </w:t>
      </w:r>
      <w:proofErr w:type="spellStart"/>
      <w:r w:rsidRPr="00324225">
        <w:rPr>
          <w:rFonts w:eastAsia="Times New Roman" w:cs="Times New Roman"/>
          <w:i/>
          <w:iCs/>
          <w:lang w:val="en-US"/>
        </w:rPr>
        <w:t>phagocytophilum</w:t>
      </w:r>
      <w:proofErr w:type="spellEnd"/>
      <w:r w:rsidRPr="00324225">
        <w:rPr>
          <w:rFonts w:eastAsia="Times New Roman" w:cs="Times New Roman"/>
          <w:lang w:val="en-US"/>
        </w:rPr>
        <w:t xml:space="preserve"> — bovine granulocytic anaplasmosis — cattle farming — One Health — epidemiological surveillance</w:t>
      </w:r>
      <w:r w:rsidRPr="00324225">
        <w:rPr>
          <w:rFonts w:ascii="Times New Roman" w:eastAsia="Times New Roman" w:hAnsi="Times New Roman" w:cs="Times New Roman"/>
          <w:lang w:val="en-US"/>
        </w:rPr>
        <w:t>.</w:t>
      </w:r>
    </w:p>
    <w:p w14:paraId="6B042E5E" w14:textId="59BEA79F" w:rsidR="00E2542A" w:rsidRDefault="00000000">
      <w:pPr>
        <w:spacing w:before="240" w:after="180"/>
      </w:pPr>
      <w:r>
        <w:rPr>
          <w:b/>
          <w:bCs/>
          <w:sz w:val="26"/>
          <w:szCs w:val="26"/>
        </w:rPr>
        <w:t>1. Introduction</w:t>
      </w:r>
    </w:p>
    <w:p w14:paraId="1A73BF9E" w14:textId="7A54C90A" w:rsidR="00E2542A" w:rsidRDefault="00000000">
      <w:pPr>
        <w:spacing w:after="120" w:line="320" w:lineRule="auto"/>
        <w:jc w:val="both"/>
      </w:pPr>
      <w:r>
        <w:lastRenderedPageBreak/>
        <w:t xml:space="preserve">Les tiques constituent aujourd'hui le premier vecteur d'agents pathogènes chez les animaux en France et en Europe, devant les moustiques et les culicoïdes (Medlock </w:t>
      </w:r>
      <w:r>
        <w:rPr>
          <w:i/>
          <w:iCs/>
        </w:rPr>
        <w:t>et al.</w:t>
      </w:r>
      <w:r>
        <w:t xml:space="preserve">, 2013). Depuis une vingtaine d'années, la production scientifique consacrée aux </w:t>
      </w:r>
      <w:r w:rsidR="007D514F">
        <w:t>M</w:t>
      </w:r>
      <w:r>
        <w:t xml:space="preserve">aladies </w:t>
      </w:r>
      <w:r w:rsidR="007D514F">
        <w:t>V</w:t>
      </w:r>
      <w:r>
        <w:t xml:space="preserve">ectorielles à </w:t>
      </w:r>
      <w:r w:rsidR="007D514F">
        <w:t>T</w:t>
      </w:r>
      <w:r>
        <w:t xml:space="preserve">iques (MVT) connaît une progression soutenue, sous l'effet conjugué de l'augmentation des cas de borréliose de Lyme (Stanek </w:t>
      </w:r>
      <w:r>
        <w:rPr>
          <w:i/>
          <w:iCs/>
        </w:rPr>
        <w:t>et al.</w:t>
      </w:r>
      <w:r>
        <w:t xml:space="preserve">, 2012), de la reconnaissance de nouveaux agents infectieux et de l'attention portée aux facteurs climatiques et environnementaux influençant la répartition des vecteurs (Ogden </w:t>
      </w:r>
      <w:r>
        <w:rPr>
          <w:i/>
          <w:iCs/>
        </w:rPr>
        <w:t>et al.</w:t>
      </w:r>
      <w:r>
        <w:t>, 2016). Les travaux dédiés à la santé animale restent toutefois plus rares, en particulier ceux conduits dans des conditions représentatives des élevages français.</w:t>
      </w:r>
    </w:p>
    <w:p w14:paraId="658AC06D" w14:textId="77777777" w:rsidR="00E2542A" w:rsidRDefault="00000000">
      <w:pPr>
        <w:spacing w:after="120" w:line="320" w:lineRule="auto"/>
        <w:jc w:val="both"/>
      </w:pPr>
      <w:r>
        <w:t xml:space="preserve">Dans le Grand Est, le programme de science participative </w:t>
      </w:r>
      <w:proofErr w:type="spellStart"/>
      <w:r>
        <w:t>CiTIQUE</w:t>
      </w:r>
      <w:proofErr w:type="spellEnd"/>
      <w:r>
        <w:t xml:space="preserve"> a permis de recenser près de 80 000 piqûres de tiques entre 2017 et 2022, avec environ 35 % de tiques analysées porteuses d'au moins un agent potentiellement pathogène (</w:t>
      </w:r>
      <w:proofErr w:type="spellStart"/>
      <w:r>
        <w:t>CiTIQUE</w:t>
      </w:r>
      <w:proofErr w:type="spellEnd"/>
      <w:r>
        <w:t>, 2025). Le département des Vosges présente des caractéristiques particulièrement favorables à la survie d'</w:t>
      </w:r>
      <w:r>
        <w:rPr>
          <w:i/>
          <w:iCs/>
        </w:rPr>
        <w:t xml:space="preserve">Ixodes </w:t>
      </w:r>
      <w:proofErr w:type="spellStart"/>
      <w:r>
        <w:rPr>
          <w:i/>
          <w:iCs/>
        </w:rPr>
        <w:t>ricinus</w:t>
      </w:r>
      <w:proofErr w:type="spellEnd"/>
      <w:r>
        <w:t xml:space="preserve"> : forte proportion de forêts, abondance d'hôtes sauvages (cervidés, sangliers, rongeurs), climat humide et altitudes modérées.</w:t>
      </w:r>
    </w:p>
    <w:p w14:paraId="17050000" w14:textId="77777777" w:rsidR="00E2542A" w:rsidRDefault="00000000">
      <w:pPr>
        <w:spacing w:after="120" w:line="320" w:lineRule="auto"/>
        <w:jc w:val="both"/>
      </w:pPr>
      <w:r>
        <w:t>Dans ce contexte, plusieurs observations cliniques ont conduit le GDS des Vosges à s'interroger sur l'implication des MVT en élevage bovin. Les données du dispositif OMAR (Observation des Mortalités des Animaux de Rente) font état d'un taux de mortalité des vaches adultes élevé, représentant 49 % des mortalités en troupeaux laitiers et 33 % en troupeaux allaitants. Parallèlement, plusieurs éleveurs, principalement équipés de robots de traite, ont signalé des épisodes associant hyperthermie et chute de production laitière sans mammite objectivable. Les données des packs avortement départementaux, mis en œuvre depuis plus de dix ans en partenariat avec le Laboratoire Départemental Vétérinaire et Alimentaire des Vosges (LDVA88), placent l'ehrlichiose en deuxième position des causes d'avortements identifiées sur 2023-2024, après la fièvre Q.</w:t>
      </w:r>
    </w:p>
    <w:p w14:paraId="35DDB0C7" w14:textId="77777777" w:rsidR="00E2542A" w:rsidRDefault="00000000">
      <w:pPr>
        <w:spacing w:after="120" w:line="320" w:lineRule="auto"/>
        <w:jc w:val="both"/>
      </w:pPr>
      <w:r>
        <w:t>L'étude présentée ici a été conduite en 2025 avec quatre objectifs : (i) caractériser la pression vectorielle dans les pâtures vosgiennes par une approche standardisée, (ii) décrire la circulation des agents pathogènes à tiques à la fois dans les tiques collectées et chez les bovins, (iii) identifier des facteurs de risque environnementaux et zootechniques associés à la prévalence d'</w:t>
      </w:r>
      <w:proofErr w:type="spellStart"/>
      <w:r>
        <w:rPr>
          <w:i/>
          <w:iCs/>
        </w:rPr>
        <w:t>Anaplasma</w:t>
      </w:r>
      <w:proofErr w:type="spellEnd"/>
      <w:r>
        <w:rPr>
          <w:i/>
          <w:iCs/>
        </w:rPr>
        <w:t xml:space="preserve"> </w:t>
      </w:r>
      <w:proofErr w:type="spellStart"/>
      <w:r>
        <w:rPr>
          <w:i/>
          <w:iCs/>
        </w:rPr>
        <w:t>phagocytophilum</w:t>
      </w:r>
      <w:proofErr w:type="spellEnd"/>
      <w:r>
        <w:t>, (iv) formuler des recommandations opérationnelles pour la pratique vétérinaire et la prévention en élevage.</w:t>
      </w:r>
    </w:p>
    <w:p w14:paraId="2680BD12" w14:textId="77777777" w:rsidR="001754FD" w:rsidRDefault="001754FD" w:rsidP="001754FD">
      <w:pPr>
        <w:spacing w:before="240" w:after="180"/>
      </w:pPr>
      <w:r>
        <w:rPr>
          <w:b/>
          <w:bCs/>
          <w:sz w:val="26"/>
          <w:szCs w:val="26"/>
        </w:rPr>
        <w:t>2. Matériel et méthodes</w:t>
      </w:r>
    </w:p>
    <w:p w14:paraId="33E233E1" w14:textId="77777777" w:rsidR="001754FD" w:rsidRDefault="001754FD" w:rsidP="001754FD">
      <w:pPr>
        <w:spacing w:before="180" w:after="100"/>
      </w:pPr>
      <w:r>
        <w:rPr>
          <w:b/>
          <w:bCs/>
          <w:sz w:val="23"/>
          <w:szCs w:val="23"/>
        </w:rPr>
        <w:t>2.1 Zone d'étude et sélection des élevages</w:t>
      </w:r>
    </w:p>
    <w:p w14:paraId="07ED1E80" w14:textId="001B31C2" w:rsidR="001754FD" w:rsidRDefault="001754FD" w:rsidP="001754FD">
      <w:pPr>
        <w:spacing w:after="120" w:line="320" w:lineRule="auto"/>
        <w:jc w:val="both"/>
      </w:pPr>
      <w:r>
        <w:t>L'étude a été conduite entre avril et juillet 2025 dans le département des Vosges (88), Grand Est. Vingt-neuf élevages bovins ont été inclus</w:t>
      </w:r>
      <w:r w:rsidR="00C4304C">
        <w:t xml:space="preserve"> (n=29)</w:t>
      </w:r>
      <w:r>
        <w:t>, répartis sur dix cantons couvrant les principales zones géographiques et pédoclimatiques du département, d'est en ouest. Les exploitations relevaient de trois typologies : laitière (n = 18), allaitante (n = 6) et mixte (n = 5).</w:t>
      </w:r>
    </w:p>
    <w:p w14:paraId="2EB7CD39" w14:textId="77777777" w:rsidR="001754FD" w:rsidRDefault="001754FD" w:rsidP="001754FD">
      <w:pPr>
        <w:spacing w:after="120" w:line="320" w:lineRule="auto"/>
        <w:jc w:val="both"/>
      </w:pPr>
      <w:r>
        <w:t xml:space="preserve">La sélection a reposé sur un schéma cas-voisin : quatorze élevages « cas » (codifiés P1 à P14) ont été retenus sur la base d'antécédents d'ehrlichiose documentés par les packs avortement </w:t>
      </w:r>
      <w:r>
        <w:lastRenderedPageBreak/>
        <w:t>multiplex réalisés au LDVA88 entre 2023 et 2024 ; quinze élevages « voisins » (codifiés V1 à V14) ont été associés, situés à proximité géographique immédiate (moins de 5 km pour 73 % d'entre eux). Cette stratification visait à comparer la circulation des agents pathogènes entre élevages à historique connu et élevages témoins géographiquement appariés, sans historique documenté.</w:t>
      </w:r>
    </w:p>
    <w:p w14:paraId="5C48CA70" w14:textId="77777777" w:rsidR="001754FD" w:rsidRDefault="001754FD" w:rsidP="001754FD">
      <w:pPr>
        <w:spacing w:before="180" w:after="100"/>
      </w:pPr>
      <w:r>
        <w:rPr>
          <w:b/>
          <w:bCs/>
          <w:sz w:val="23"/>
          <w:szCs w:val="23"/>
        </w:rPr>
        <w:t>2.2 Collecte et identification des tiques en pâture</w:t>
      </w:r>
    </w:p>
    <w:p w14:paraId="6F8B1682" w14:textId="2154C2C0" w:rsidR="001754FD" w:rsidRDefault="001754FD" w:rsidP="001754FD">
      <w:pPr>
        <w:spacing w:after="120" w:line="320" w:lineRule="auto"/>
        <w:jc w:val="both"/>
      </w:pPr>
      <w:r>
        <w:t xml:space="preserve">Les tiques ont été collectées par la </w:t>
      </w:r>
      <w:r>
        <w:rPr>
          <w:b/>
          <w:bCs/>
        </w:rPr>
        <w:t>méthode du drap</w:t>
      </w:r>
      <w:r>
        <w:t xml:space="preserve"> (Vassallo </w:t>
      </w:r>
      <w:r>
        <w:rPr>
          <w:i/>
          <w:iCs/>
        </w:rPr>
        <w:t>et al.</w:t>
      </w:r>
      <w:r>
        <w:t>, 2000), appliquée de façon standardisée sur une parcelle représentative par exploitation, sélectionnée en concertation avec l'éleveur en fonction de la fréquentation habituelle du troupeau</w:t>
      </w:r>
      <w:r w:rsidR="00EE25F7">
        <w:t>, de la cohorte des animaux à risque</w:t>
      </w:r>
      <w:r>
        <w:t xml:space="preserve"> et de sa proximité avec des éléments paysagers à risque (lisière forestière, haies, zones humides). Sur chaque parcelle, </w:t>
      </w:r>
      <w:r>
        <w:rPr>
          <w:b/>
          <w:bCs/>
        </w:rPr>
        <w:t>dix transects de 10 m² (100 m² au total)</w:t>
      </w:r>
      <w:r>
        <w:t xml:space="preserve"> ont été parcourus avec un drap de coton blanc (1 × 1 m)</w:t>
      </w:r>
      <w:r w:rsidR="00C4304C">
        <w:t xml:space="preserve"> type serviette éponge</w:t>
      </w:r>
      <w:r>
        <w:t xml:space="preserve">, retourné et inspecté tous les </w:t>
      </w:r>
      <w:r w:rsidR="00EE25F7">
        <w:t>10</w:t>
      </w:r>
      <w:r>
        <w:t xml:space="preserve"> mètres linéaires. La température </w:t>
      </w:r>
      <w:r w:rsidR="007D514F">
        <w:t>ambiante</w:t>
      </w:r>
      <w:r>
        <w:t xml:space="preserve"> a été systématiquement relevée (moyenne 26,3 °C, plage 15–36 °C). Une seconde collecte a été réalisée sur un sous-ensemble de parcelles afin d'évaluer la dynamique saisonnière.</w:t>
      </w:r>
    </w:p>
    <w:p w14:paraId="45EB61AD" w14:textId="379A5DF9" w:rsidR="001754FD" w:rsidRDefault="001754FD" w:rsidP="001754FD">
      <w:pPr>
        <w:spacing w:after="120" w:line="320" w:lineRule="auto"/>
        <w:jc w:val="both"/>
      </w:pPr>
      <w:r>
        <w:t xml:space="preserve">L'identification morphologique des tiques (genre, espèce, stade, sexe) a été effectuée </w:t>
      </w:r>
      <w:r w:rsidR="00EE25F7">
        <w:t xml:space="preserve">au GDS des Vosges puis confirmé </w:t>
      </w:r>
      <w:r w:rsidR="00EE25F7" w:rsidRPr="00EE25F7">
        <w:t>par l’ANSES -</w:t>
      </w:r>
      <w:r w:rsidR="00EE25F7">
        <w:t xml:space="preserve"> </w:t>
      </w:r>
      <w:r w:rsidR="00EE25F7" w:rsidRPr="00EE25F7">
        <w:t>UMR BIPAR</w:t>
      </w:r>
      <w:r w:rsidR="00EE25F7">
        <w:t xml:space="preserve"> selon</w:t>
      </w:r>
      <w:r>
        <w:t xml:space="preserve"> les clés de détermination d'Estrada-</w:t>
      </w:r>
      <w:proofErr w:type="spellStart"/>
      <w:r>
        <w:t>Peña</w:t>
      </w:r>
      <w:proofErr w:type="spellEnd"/>
      <w:r>
        <w:t xml:space="preserve"> (Estrada-</w:t>
      </w:r>
      <w:proofErr w:type="spellStart"/>
      <w:r>
        <w:t>Peña</w:t>
      </w:r>
      <w:proofErr w:type="spellEnd"/>
      <w:r>
        <w:t xml:space="preserve"> </w:t>
      </w:r>
      <w:r>
        <w:rPr>
          <w:i/>
          <w:iCs/>
        </w:rPr>
        <w:t>et al.</w:t>
      </w:r>
      <w:r>
        <w:t>, 2017). Les tiques ont été conservées</w:t>
      </w:r>
      <w:r w:rsidR="00EE25F7">
        <w:t>, noyés dans le l’alcool 70</w:t>
      </w:r>
      <w:proofErr w:type="gramStart"/>
      <w:r w:rsidR="00EE25F7">
        <w:t xml:space="preserve">°, </w:t>
      </w:r>
      <w:r>
        <w:t xml:space="preserve"> à</w:t>
      </w:r>
      <w:proofErr w:type="gramEnd"/>
      <w:r>
        <w:t xml:space="preserve"> </w:t>
      </w:r>
      <w:r w:rsidR="00EE25F7">
        <w:t xml:space="preserve">température ambiante </w:t>
      </w:r>
      <w:r>
        <w:t>dans des tubes stériles jusqu'à leur</w:t>
      </w:r>
      <w:r w:rsidR="00EE25F7">
        <w:t xml:space="preserve"> broyat puis leur</w:t>
      </w:r>
      <w:r>
        <w:t xml:space="preserve"> analyse</w:t>
      </w:r>
      <w:r w:rsidR="00EE25F7">
        <w:t xml:space="preserve"> PCR par l’ANSES</w:t>
      </w:r>
      <w:r>
        <w:t>.</w:t>
      </w:r>
    </w:p>
    <w:p w14:paraId="720F0BC7" w14:textId="77777777" w:rsidR="001754FD" w:rsidRDefault="001754FD" w:rsidP="001754FD">
      <w:pPr>
        <w:spacing w:before="180" w:after="100"/>
      </w:pPr>
      <w:r>
        <w:rPr>
          <w:b/>
          <w:bCs/>
          <w:sz w:val="23"/>
          <w:szCs w:val="23"/>
        </w:rPr>
        <w:t>2.3 Prélèvements sanguins</w:t>
      </w:r>
    </w:p>
    <w:p w14:paraId="4643BAA4" w14:textId="7007C555" w:rsidR="001754FD" w:rsidRDefault="001754FD" w:rsidP="001754FD">
      <w:pPr>
        <w:spacing w:after="120" w:line="320" w:lineRule="auto"/>
        <w:jc w:val="both"/>
      </w:pPr>
      <w:r>
        <w:t xml:space="preserve">Au total, </w:t>
      </w:r>
      <w:r>
        <w:rPr>
          <w:b/>
          <w:bCs/>
        </w:rPr>
        <w:t>474 prélèvements sanguins</w:t>
      </w:r>
      <w:r>
        <w:t xml:space="preserve"> ont été réalisés sur </w:t>
      </w:r>
      <w:r>
        <w:rPr>
          <w:b/>
          <w:bCs/>
        </w:rPr>
        <w:t>en moyenne 9,5 bovins par élevage</w:t>
      </w:r>
      <w:r>
        <w:t xml:space="preserve"> (extrêmes : 5 à 10). Deux types de prélèvements ont été effectués lors de chaque visite </w:t>
      </w:r>
      <w:r w:rsidR="00EE25F7">
        <w:t xml:space="preserve">par les Docteurs vétérinaires de l’élevage concerné </w:t>
      </w:r>
      <w:r>
        <w:t>:</w:t>
      </w:r>
    </w:p>
    <w:p w14:paraId="5C34BFED" w14:textId="32A1A29E" w:rsidR="007D514F" w:rsidRDefault="001754FD" w:rsidP="007D514F">
      <w:pPr>
        <w:pStyle w:val="Paragraphedeliste"/>
        <w:numPr>
          <w:ilvl w:val="0"/>
          <w:numId w:val="2"/>
        </w:numPr>
        <w:spacing w:after="60"/>
      </w:pPr>
      <w:r w:rsidRPr="007D514F">
        <w:t xml:space="preserve">Tube sec pour </w:t>
      </w:r>
      <w:r w:rsidR="00EE25F7">
        <w:t xml:space="preserve">les </w:t>
      </w:r>
      <w:r w:rsidRPr="007D514F">
        <w:t>sérologie</w:t>
      </w:r>
      <w:r w:rsidR="00EE25F7">
        <w:t>s Borréliose et Ehrlichiose</w:t>
      </w:r>
      <w:r w:rsidRPr="007D514F">
        <w:t xml:space="preserve"> (n = 277 animaux, 29 élevages) ;</w:t>
      </w:r>
    </w:p>
    <w:p w14:paraId="04A69EB4" w14:textId="23BF9378" w:rsidR="007D514F" w:rsidRDefault="007D514F" w:rsidP="007D514F">
      <w:pPr>
        <w:pStyle w:val="Paragraphedeliste"/>
        <w:numPr>
          <w:ilvl w:val="0"/>
          <w:numId w:val="2"/>
        </w:numPr>
        <w:spacing w:after="60"/>
      </w:pPr>
      <w:r w:rsidRPr="007D514F">
        <w:t>T</w:t>
      </w:r>
      <w:r w:rsidR="001754FD" w:rsidRPr="007D514F">
        <w:t>ube</w:t>
      </w:r>
      <w:r w:rsidR="001754FD">
        <w:t xml:space="preserve"> EDTA pour PCR et typage moléculaire (n = 197 animaux, 22 élevages).</w:t>
      </w:r>
    </w:p>
    <w:p w14:paraId="354DD21A" w14:textId="77777777" w:rsidR="007D514F" w:rsidRDefault="007D514F" w:rsidP="007D514F">
      <w:pPr>
        <w:pStyle w:val="Paragraphedeliste"/>
        <w:spacing w:after="60"/>
        <w:ind w:left="720"/>
      </w:pPr>
    </w:p>
    <w:p w14:paraId="3F79D105" w14:textId="7FB7741F" w:rsidR="001754FD" w:rsidRDefault="001754FD" w:rsidP="001754FD">
      <w:pPr>
        <w:spacing w:after="120" w:line="320" w:lineRule="auto"/>
        <w:jc w:val="both"/>
      </w:pPr>
      <w:r>
        <w:t>Les animaux ont été sélectionnés</w:t>
      </w:r>
      <w:r w:rsidR="00EE25F7">
        <w:t xml:space="preserve"> en amont </w:t>
      </w:r>
      <w:r>
        <w:t>sur la base du Dossier d'Accompagnement des Prélèvements (DAP) fourni par le GDS</w:t>
      </w:r>
      <w:r w:rsidR="007D514F">
        <w:t xml:space="preserve"> des Vosges</w:t>
      </w:r>
      <w:r>
        <w:t>, en privilégiant les vaches adultes ayant fréquenté la parcelle étudiée</w:t>
      </w:r>
      <w:r w:rsidR="007D514F">
        <w:t xml:space="preserve"> (cohorte des animaux exposés au risque)</w:t>
      </w:r>
      <w:r>
        <w:t>.</w:t>
      </w:r>
      <w:r w:rsidR="00C4304C">
        <w:t xml:space="preserve"> </w:t>
      </w:r>
      <w:r>
        <w:t>L'âge moyen des animaux prélevés était de 54 mois.</w:t>
      </w:r>
    </w:p>
    <w:p w14:paraId="3F547952" w14:textId="77777777" w:rsidR="001754FD" w:rsidRDefault="001754FD" w:rsidP="001754FD">
      <w:pPr>
        <w:spacing w:before="180" w:after="100"/>
      </w:pPr>
      <w:r>
        <w:rPr>
          <w:b/>
          <w:bCs/>
          <w:sz w:val="23"/>
          <w:szCs w:val="23"/>
        </w:rPr>
        <w:t>2.4 Analyses de laboratoire</w:t>
      </w:r>
    </w:p>
    <w:p w14:paraId="26BF03BA" w14:textId="77777777" w:rsidR="001754FD" w:rsidRDefault="001754FD" w:rsidP="00C4304C">
      <w:pPr>
        <w:spacing w:after="120" w:line="320" w:lineRule="auto"/>
        <w:jc w:val="both"/>
      </w:pPr>
      <w:r>
        <w:t>Trois laboratoires partenaires ont réalisé les analyses :</w:t>
      </w:r>
    </w:p>
    <w:p w14:paraId="609659ED" w14:textId="77777777" w:rsidR="007D514F" w:rsidRDefault="001754FD" w:rsidP="007D514F">
      <w:pPr>
        <w:pStyle w:val="Paragraphedeliste"/>
        <w:numPr>
          <w:ilvl w:val="0"/>
          <w:numId w:val="3"/>
        </w:numPr>
        <w:spacing w:after="60"/>
        <w:jc w:val="both"/>
      </w:pPr>
      <w:r w:rsidRPr="007D514F">
        <w:rPr>
          <w:b/>
          <w:bCs/>
        </w:rPr>
        <w:t xml:space="preserve">Sérologie Borréliose </w:t>
      </w:r>
      <w:r>
        <w:t>(</w:t>
      </w:r>
      <w:r w:rsidRPr="007D514F">
        <w:rPr>
          <w:i/>
          <w:iCs/>
        </w:rPr>
        <w:t>Borrelia burgdorferi</w:t>
      </w:r>
      <w:r>
        <w:t xml:space="preserve"> </w:t>
      </w:r>
      <w:proofErr w:type="spellStart"/>
      <w:r>
        <w:t>s.l</w:t>
      </w:r>
      <w:proofErr w:type="spellEnd"/>
      <w:r>
        <w:t>.) : ELISA réalisé au LDVA88 (n = 277 sérums)</w:t>
      </w:r>
      <w:r w:rsidR="00C4304C">
        <w:t> ;</w:t>
      </w:r>
    </w:p>
    <w:p w14:paraId="3D775C3E" w14:textId="77777777" w:rsidR="007D514F" w:rsidRDefault="001754FD" w:rsidP="007D514F">
      <w:pPr>
        <w:pStyle w:val="Paragraphedeliste"/>
        <w:numPr>
          <w:ilvl w:val="0"/>
          <w:numId w:val="3"/>
        </w:numPr>
        <w:spacing w:after="60"/>
        <w:jc w:val="both"/>
      </w:pPr>
      <w:r w:rsidRPr="007D514F">
        <w:rPr>
          <w:b/>
          <w:bCs/>
        </w:rPr>
        <w:t xml:space="preserve">Sérologie Ehrlichiose </w:t>
      </w:r>
      <w:r>
        <w:t>(</w:t>
      </w:r>
      <w:proofErr w:type="spellStart"/>
      <w:r w:rsidRPr="007D514F">
        <w:rPr>
          <w:i/>
          <w:iCs/>
        </w:rPr>
        <w:t>Anaplasma</w:t>
      </w:r>
      <w:proofErr w:type="spellEnd"/>
      <w:r w:rsidRPr="007D514F">
        <w:rPr>
          <w:i/>
          <w:iCs/>
        </w:rPr>
        <w:t xml:space="preserve"> </w:t>
      </w:r>
      <w:proofErr w:type="spellStart"/>
      <w:r w:rsidRPr="007D514F">
        <w:rPr>
          <w:i/>
          <w:iCs/>
        </w:rPr>
        <w:t>phagocytophilum</w:t>
      </w:r>
      <w:proofErr w:type="spellEnd"/>
      <w:r>
        <w:t>) : immunofluorescence indirecte (IFI) réalisée au Laboratoire Départemental d'Analyses de la Dordogne (LDA 24) (n = 197 sérums)</w:t>
      </w:r>
      <w:r w:rsidR="00C4304C">
        <w:t> ;</w:t>
      </w:r>
    </w:p>
    <w:p w14:paraId="23AE162D" w14:textId="0F6C0137" w:rsidR="001754FD" w:rsidRDefault="001754FD" w:rsidP="007D514F">
      <w:pPr>
        <w:pStyle w:val="Paragraphedeliste"/>
        <w:numPr>
          <w:ilvl w:val="0"/>
          <w:numId w:val="3"/>
        </w:numPr>
        <w:spacing w:after="60"/>
        <w:jc w:val="both"/>
      </w:pPr>
      <w:r w:rsidRPr="007D514F">
        <w:rPr>
          <w:b/>
          <w:bCs/>
        </w:rPr>
        <w:t xml:space="preserve">PCR multiplex sur broyats de tiques </w:t>
      </w:r>
      <w:r>
        <w:t xml:space="preserve">: détection simultanée de 44 agents pathogènes (bactéries et parasites) par technologie </w:t>
      </w:r>
      <w:proofErr w:type="spellStart"/>
      <w:r>
        <w:t>microfluidique</w:t>
      </w:r>
      <w:proofErr w:type="spellEnd"/>
      <w:r>
        <w:t xml:space="preserve"> haut débit (Fluidigm </w:t>
      </w:r>
      <w:proofErr w:type="spellStart"/>
      <w:r>
        <w:t>BioMark</w:t>
      </w:r>
      <w:proofErr w:type="spellEnd"/>
      <w:r>
        <w:t xml:space="preserve">™), </w:t>
      </w:r>
      <w:r>
        <w:lastRenderedPageBreak/>
        <w:t>réalisée à l'ANSES – Laboratoire de Santé Animale, UMR BIPAR, Maisons-Alfort (</w:t>
      </w:r>
      <w:proofErr w:type="spellStart"/>
      <w:r>
        <w:t>Moutailler</w:t>
      </w:r>
      <w:proofErr w:type="spellEnd"/>
      <w:r>
        <w:t xml:space="preserve"> </w:t>
      </w:r>
      <w:r w:rsidRPr="007D514F">
        <w:rPr>
          <w:i/>
          <w:iCs/>
        </w:rPr>
        <w:t>et al.</w:t>
      </w:r>
      <w:r>
        <w:t xml:space="preserve">, 2016 ; Michelet </w:t>
      </w:r>
      <w:r w:rsidRPr="007D514F">
        <w:rPr>
          <w:i/>
          <w:iCs/>
        </w:rPr>
        <w:t>et al.</w:t>
      </w:r>
      <w:r>
        <w:t>, 2014). Les tiques ont été regroupées en pools par parcelle, par espèce et par stade, puis broyées avant extraction d'ADN.</w:t>
      </w:r>
    </w:p>
    <w:p w14:paraId="68957930" w14:textId="77777777" w:rsidR="001754FD" w:rsidRDefault="001754FD" w:rsidP="001754FD">
      <w:pPr>
        <w:spacing w:before="180" w:after="100"/>
      </w:pPr>
      <w:r>
        <w:rPr>
          <w:b/>
          <w:bCs/>
          <w:sz w:val="23"/>
          <w:szCs w:val="23"/>
        </w:rPr>
        <w:t>2.5 Enquête éleveurs</w:t>
      </w:r>
    </w:p>
    <w:p w14:paraId="49571329" w14:textId="77777777" w:rsidR="001754FD" w:rsidRDefault="001754FD" w:rsidP="001754FD">
      <w:pPr>
        <w:spacing w:after="120" w:line="320" w:lineRule="auto"/>
        <w:jc w:val="both"/>
      </w:pPr>
      <w:r>
        <w:t>Un questionnaire structuré de 32 questions a été administré en face-à-face par deux enquêteurs du GDS (durée moyenne 28 minutes), couvrant quatre volets : (i) connaissance et exposition humaine aux MVT (8 questions), (ii) observations cliniques en élevage et perception du risque zootechnique (12 questions), (iii) pratiques de prévention et de traitement acaricide (6 questions), (iv) caractérisation de la parcelle et de son environnement — présence de haies, de forêt, observations de faune sauvage, pratiques d'amendement (6 questions).</w:t>
      </w:r>
    </w:p>
    <w:p w14:paraId="2C86D4E0" w14:textId="77777777" w:rsidR="001754FD" w:rsidRDefault="001754FD" w:rsidP="001754FD">
      <w:pPr>
        <w:spacing w:before="180" w:after="100"/>
      </w:pPr>
      <w:r>
        <w:rPr>
          <w:b/>
          <w:bCs/>
          <w:sz w:val="23"/>
          <w:szCs w:val="23"/>
        </w:rPr>
        <w:t>2.6 Analyse des données</w:t>
      </w:r>
    </w:p>
    <w:p w14:paraId="4BA16C11" w14:textId="5AFEE379" w:rsidR="001754FD" w:rsidRDefault="001754FD" w:rsidP="001754FD">
      <w:pPr>
        <w:spacing w:after="120" w:line="320" w:lineRule="auto"/>
        <w:jc w:val="both"/>
      </w:pPr>
      <w:r>
        <w:t>Les données ont été saisies et consolidées dans un tableur</w:t>
      </w:r>
      <w:r w:rsidR="00EE25F7">
        <w:t xml:space="preserve"> Excel</w:t>
      </w:r>
      <w:r w:rsidR="00EE25F7" w:rsidRPr="00EE25F7">
        <w:t>®</w:t>
      </w:r>
      <w:r>
        <w:t xml:space="preserve"> unique, puis analysées en statistiques descriptives (effectifs, pourcentages, moyennes). Des croisements ont été réalisés entre la prévalence sérologique d'</w:t>
      </w:r>
      <w:proofErr w:type="spellStart"/>
      <w:r>
        <w:rPr>
          <w:i/>
          <w:iCs/>
        </w:rPr>
        <w:t>Anaplasma</w:t>
      </w:r>
      <w:proofErr w:type="spellEnd"/>
      <w:r>
        <w:rPr>
          <w:i/>
          <w:iCs/>
        </w:rPr>
        <w:t xml:space="preserve"> </w:t>
      </w:r>
      <w:proofErr w:type="spellStart"/>
      <w:r>
        <w:rPr>
          <w:i/>
          <w:iCs/>
        </w:rPr>
        <w:t>phagocytophilum</w:t>
      </w:r>
      <w:proofErr w:type="spellEnd"/>
      <w:r>
        <w:t xml:space="preserve"> et plusieurs variables explicatives : typologie d'élevage, présence de signes cliniques, fréquence d'observation de faune sauvage, type d'amendement agricole, pratique de traitement acaricide. Les résultats sont présentés sous forme de pourcentages comparés en raison de la taille limitée de certains sous-groupes ; aucun test statistique inférentiel n'a été appliqué dans la présente étude, qui conserve un caractère </w:t>
      </w:r>
      <w:r>
        <w:rPr>
          <w:b/>
          <w:bCs/>
        </w:rPr>
        <w:t>exploratoire</w:t>
      </w:r>
      <w:r>
        <w:t xml:space="preserve"> sur ces croisements.</w:t>
      </w:r>
    </w:p>
    <w:p w14:paraId="21F62E70" w14:textId="553A3493" w:rsidR="00B524AE" w:rsidRDefault="00B524AE" w:rsidP="001754FD">
      <w:pPr>
        <w:spacing w:after="120" w:line="320" w:lineRule="auto"/>
        <w:jc w:val="both"/>
      </w:pPr>
      <w:r w:rsidRPr="00B524AE">
        <w:t xml:space="preserve">Les croisements entre variables catégorielles ont été testés par </w:t>
      </w:r>
      <w:r w:rsidRPr="00B524AE">
        <w:rPr>
          <w:b/>
          <w:bCs/>
        </w:rPr>
        <w:t>test exact de Fisher</w:t>
      </w:r>
      <w:r w:rsidRPr="00B524AE">
        <w:t xml:space="preserve"> (pour les tables 2×2) et par </w:t>
      </w:r>
      <w:r w:rsidRPr="00B524AE">
        <w:rPr>
          <w:b/>
          <w:bCs/>
        </w:rPr>
        <w:t>test du χ²</w:t>
      </w:r>
      <w:r w:rsidRPr="00B524AE">
        <w:t xml:space="preserve"> (pour les variables à plus de deux modalités). La comparaison des distributions de densités de tiques entre classes d'observation de la faune sauvage a utilisé le test non paramétrique de </w:t>
      </w:r>
      <w:proofErr w:type="spellStart"/>
      <w:r w:rsidRPr="00B524AE">
        <w:rPr>
          <w:b/>
          <w:bCs/>
        </w:rPr>
        <w:t>Kruskal</w:t>
      </w:r>
      <w:proofErr w:type="spellEnd"/>
      <w:r w:rsidRPr="00B524AE">
        <w:rPr>
          <w:b/>
          <w:bCs/>
        </w:rPr>
        <w:t>-Wallis</w:t>
      </w:r>
      <w:r w:rsidRPr="00B524AE">
        <w:t xml:space="preserve">. Les corrélations ont été calculées par coefficient de </w:t>
      </w:r>
      <w:r w:rsidRPr="00B524AE">
        <w:rPr>
          <w:b/>
          <w:bCs/>
        </w:rPr>
        <w:t>Spearman</w:t>
      </w:r>
      <w:r w:rsidRPr="00B524AE">
        <w:t xml:space="preserve">. Le seuil de significativité a été fixé à α = 0,05. Les analyses ont été conduites sous </w:t>
      </w:r>
      <w:proofErr w:type="spellStart"/>
      <w:r>
        <w:t>RCommander</w:t>
      </w:r>
      <w:proofErr w:type="spellEnd"/>
      <w:r w:rsidRPr="00B524AE">
        <w:t xml:space="preserve"> ® (version</w:t>
      </w:r>
      <w:r>
        <w:t xml:space="preserve"> 2.12.2</w:t>
      </w:r>
      <w:r w:rsidRPr="00B524AE">
        <w:t>)</w:t>
      </w:r>
      <w:r>
        <w:t>.</w:t>
      </w:r>
    </w:p>
    <w:p w14:paraId="4315D5F3" w14:textId="1BBD36BB" w:rsidR="007D514F" w:rsidRDefault="007D514F" w:rsidP="007D514F">
      <w:pPr>
        <w:spacing w:before="300" w:after="180"/>
      </w:pPr>
      <w:r>
        <w:rPr>
          <w:b/>
          <w:bCs/>
          <w:sz w:val="26"/>
          <w:szCs w:val="26"/>
        </w:rPr>
        <w:t>3. Résultats</w:t>
      </w:r>
      <w:r w:rsidR="00EE25F7">
        <w:rPr>
          <w:b/>
          <w:bCs/>
          <w:sz w:val="26"/>
          <w:szCs w:val="26"/>
        </w:rPr>
        <w:t xml:space="preserve"> descriptifs</w:t>
      </w:r>
      <w:r w:rsidR="00B524AE">
        <w:rPr>
          <w:b/>
          <w:bCs/>
          <w:sz w:val="26"/>
          <w:szCs w:val="26"/>
        </w:rPr>
        <w:t xml:space="preserve"> et analytiques</w:t>
      </w:r>
    </w:p>
    <w:p w14:paraId="37BDB527" w14:textId="77777777" w:rsidR="007D514F" w:rsidRDefault="007D514F" w:rsidP="007D514F">
      <w:pPr>
        <w:spacing w:before="200" w:after="100"/>
      </w:pPr>
      <w:r>
        <w:rPr>
          <w:b/>
          <w:bCs/>
          <w:sz w:val="23"/>
          <w:szCs w:val="23"/>
        </w:rPr>
        <w:t>3.1 Caractéristiques des élevages et effectifs analysés</w:t>
      </w:r>
    </w:p>
    <w:p w14:paraId="03DB65E6" w14:textId="5A616D25" w:rsidR="007D514F" w:rsidRDefault="007D514F" w:rsidP="007D514F">
      <w:pPr>
        <w:spacing w:after="120" w:line="320" w:lineRule="auto"/>
        <w:jc w:val="both"/>
      </w:pPr>
      <w:r>
        <w:t xml:space="preserve">L'étude a porté sur 29 élevages (14 cas, 15 voisins) totalisant </w:t>
      </w:r>
      <w:r w:rsidR="00EE25F7">
        <w:t xml:space="preserve">277 </w:t>
      </w:r>
      <w:r>
        <w:t xml:space="preserve">bovins, avec une prédominance des systèmes laitiers (83 %). Au total, 277 sérologies Borréliose, </w:t>
      </w:r>
      <w:r w:rsidR="00EE25F7">
        <w:t xml:space="preserve">277 </w:t>
      </w:r>
      <w:r>
        <w:t>sérologies Ehrlichiose (</w:t>
      </w:r>
      <w:r w:rsidR="00EE25F7">
        <w:t xml:space="preserve">traitées </w:t>
      </w:r>
      <w:r>
        <w:t>immunofluorescence)</w:t>
      </w:r>
      <w:r w:rsidR="00EE25F7">
        <w:t xml:space="preserve">, 197 sangs en PCR Multiplex </w:t>
      </w:r>
      <w:r>
        <w:t xml:space="preserve">et </w:t>
      </w:r>
      <w:r w:rsidR="008B4415">
        <w:t xml:space="preserve">410 </w:t>
      </w:r>
      <w:r>
        <w:t>tiques ont été analysé</w:t>
      </w:r>
      <w:r w:rsidR="00EE25F7">
        <w:t>e</w:t>
      </w:r>
      <w:r>
        <w:t xml:space="preserve">s. La température moyenne </w:t>
      </w:r>
      <w:r w:rsidR="00EE25F7">
        <w:t xml:space="preserve">ambiante </w:t>
      </w:r>
      <w:r>
        <w:t>lors des collectes s'établissait à 26,3 °C (15–36 °C), conditions favorables à l'activité vectorielle.</w:t>
      </w:r>
    </w:p>
    <w:p w14:paraId="12E0DC09" w14:textId="77777777" w:rsidR="007D514F" w:rsidRDefault="007D514F" w:rsidP="007D514F">
      <w:pPr>
        <w:spacing w:before="200" w:after="100"/>
      </w:pPr>
      <w:r>
        <w:rPr>
          <w:b/>
          <w:bCs/>
          <w:sz w:val="23"/>
          <w:szCs w:val="23"/>
        </w:rPr>
        <w:t>3.2 Pression vectorielle en pâture</w:t>
      </w:r>
    </w:p>
    <w:p w14:paraId="5765F094" w14:textId="6A05AC90" w:rsidR="007D514F" w:rsidRDefault="007D514F" w:rsidP="007D514F">
      <w:pPr>
        <w:spacing w:after="120" w:line="320" w:lineRule="auto"/>
        <w:jc w:val="both"/>
      </w:pPr>
      <w:r>
        <w:t xml:space="preserve">La </w:t>
      </w:r>
      <w:r>
        <w:rPr>
          <w:b/>
          <w:bCs/>
        </w:rPr>
        <w:t>densité moyenne de tiques</w:t>
      </w:r>
      <w:r>
        <w:t xml:space="preserve"> s'élève à </w:t>
      </w:r>
      <w:r>
        <w:rPr>
          <w:b/>
          <w:bCs/>
        </w:rPr>
        <w:t>940 tiques/ha</w:t>
      </w:r>
      <w:r>
        <w:t xml:space="preserve"> </w:t>
      </w:r>
      <w:r>
        <w:rPr>
          <w:i/>
          <w:iCs/>
        </w:rPr>
        <w:t>(valeur m</w:t>
      </w:r>
      <w:r w:rsidR="00E92DA2">
        <w:rPr>
          <w:i/>
          <w:iCs/>
        </w:rPr>
        <w:t>oyenne</w:t>
      </w:r>
      <w:r>
        <w:rPr>
          <w:i/>
          <w:iCs/>
        </w:rPr>
        <w:t xml:space="preserve"> estimée par la méthode du drapeau)</w:t>
      </w:r>
      <w:r>
        <w:t>, avec u</w:t>
      </w:r>
      <w:r w:rsidRPr="00EE25F7">
        <w:t>n pic printanier à 1 500 tiques/ha. Des tiques ont été collectées sur la majorité des 29 parcelles étudiées</w:t>
      </w:r>
      <w:r w:rsidR="00EE25F7">
        <w:t xml:space="preserve"> (</w:t>
      </w:r>
      <w:r w:rsidR="008B4415">
        <w:t>82,76% des pâtures)</w:t>
      </w:r>
      <w:r w:rsidRPr="00EE25F7">
        <w:t>.</w:t>
      </w:r>
    </w:p>
    <w:p w14:paraId="1B0FC7C2" w14:textId="16AA738B" w:rsidR="007D514F" w:rsidRDefault="007D514F" w:rsidP="00EE25F7">
      <w:pPr>
        <w:spacing w:after="120" w:line="320" w:lineRule="auto"/>
        <w:jc w:val="both"/>
      </w:pPr>
      <w:r>
        <w:t xml:space="preserve">La composition spécifique et </w:t>
      </w:r>
      <w:proofErr w:type="spellStart"/>
      <w:r>
        <w:t>stadiale</w:t>
      </w:r>
      <w:proofErr w:type="spellEnd"/>
      <w:r>
        <w:t xml:space="preserve"> des tiques collectées (n = </w:t>
      </w:r>
      <w:r w:rsidR="008B4415">
        <w:t>410</w:t>
      </w:r>
      <w:r>
        <w:t>) se répartit comme suit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213"/>
        <w:gridCol w:w="2613"/>
      </w:tblGrid>
      <w:tr w:rsidR="007D514F" w14:paraId="1648B211" w14:textId="77777777" w:rsidTr="00066D09">
        <w:trPr>
          <w:tblHeader/>
        </w:trPr>
        <w:tc>
          <w:tcPr>
            <w:tcW w:w="4200" w:type="dxa"/>
            <w:tcBorders>
              <w:top w:val="single" w:sz="2" w:space="0" w:color="808080"/>
              <w:left w:val="single" w:sz="2" w:space="0" w:color="808080"/>
              <w:bottom w:val="single" w:sz="2" w:space="0" w:color="808080"/>
              <w:right w:val="single" w:sz="2" w:space="0" w:color="808080"/>
            </w:tcBorders>
            <w:shd w:val="clear" w:color="auto" w:fill="D9E2F3"/>
            <w:tcMar>
              <w:top w:w="80" w:type="dxa"/>
              <w:left w:w="120" w:type="dxa"/>
              <w:bottom w:w="80" w:type="dxa"/>
              <w:right w:w="120" w:type="dxa"/>
            </w:tcMar>
            <w:vAlign w:val="center"/>
          </w:tcPr>
          <w:p w14:paraId="476F293B" w14:textId="77777777" w:rsidR="007D514F" w:rsidRDefault="007D514F" w:rsidP="00066D09">
            <w:r>
              <w:rPr>
                <w:b/>
                <w:bCs/>
                <w:sz w:val="20"/>
                <w:szCs w:val="20"/>
              </w:rPr>
              <w:lastRenderedPageBreak/>
              <w:t>Espèce / stade</w:t>
            </w:r>
          </w:p>
        </w:tc>
        <w:tc>
          <w:tcPr>
            <w:tcW w:w="2213" w:type="dxa"/>
            <w:tcBorders>
              <w:top w:val="single" w:sz="2" w:space="0" w:color="808080"/>
              <w:left w:val="single" w:sz="2" w:space="0" w:color="808080"/>
              <w:bottom w:val="single" w:sz="2" w:space="0" w:color="808080"/>
              <w:right w:val="single" w:sz="2" w:space="0" w:color="808080"/>
            </w:tcBorders>
            <w:shd w:val="clear" w:color="auto" w:fill="D9E2F3"/>
            <w:tcMar>
              <w:top w:w="80" w:type="dxa"/>
              <w:left w:w="120" w:type="dxa"/>
              <w:bottom w:w="80" w:type="dxa"/>
              <w:right w:w="120" w:type="dxa"/>
            </w:tcMar>
            <w:vAlign w:val="center"/>
          </w:tcPr>
          <w:p w14:paraId="0E8D886A" w14:textId="77777777" w:rsidR="007D514F" w:rsidRDefault="007D514F" w:rsidP="00066D09">
            <w:pPr>
              <w:jc w:val="center"/>
            </w:pPr>
            <w:r>
              <w:rPr>
                <w:b/>
                <w:bCs/>
                <w:sz w:val="20"/>
                <w:szCs w:val="20"/>
              </w:rPr>
              <w:t>Effectif</w:t>
            </w:r>
          </w:p>
        </w:tc>
        <w:tc>
          <w:tcPr>
            <w:tcW w:w="2613" w:type="dxa"/>
            <w:tcBorders>
              <w:top w:val="single" w:sz="2" w:space="0" w:color="808080"/>
              <w:left w:val="single" w:sz="2" w:space="0" w:color="808080"/>
              <w:bottom w:val="single" w:sz="2" w:space="0" w:color="808080"/>
              <w:right w:val="single" w:sz="2" w:space="0" w:color="808080"/>
            </w:tcBorders>
            <w:shd w:val="clear" w:color="auto" w:fill="D9E2F3"/>
            <w:tcMar>
              <w:top w:w="80" w:type="dxa"/>
              <w:left w:w="120" w:type="dxa"/>
              <w:bottom w:w="80" w:type="dxa"/>
              <w:right w:w="120" w:type="dxa"/>
            </w:tcMar>
            <w:vAlign w:val="center"/>
          </w:tcPr>
          <w:p w14:paraId="66B70506" w14:textId="77777777" w:rsidR="007D514F" w:rsidRDefault="007D514F" w:rsidP="00066D09">
            <w:pPr>
              <w:jc w:val="center"/>
            </w:pPr>
            <w:r>
              <w:rPr>
                <w:b/>
                <w:bCs/>
                <w:sz w:val="20"/>
                <w:szCs w:val="20"/>
              </w:rPr>
              <w:t>Pourcentage</w:t>
            </w:r>
          </w:p>
        </w:tc>
      </w:tr>
      <w:tr w:rsidR="007D514F" w14:paraId="0A247840" w14:textId="77777777" w:rsidTr="00066D09">
        <w:tc>
          <w:tcPr>
            <w:tcW w:w="4200"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tcPr>
          <w:p w14:paraId="7DE3E574" w14:textId="77777777" w:rsidR="007D514F" w:rsidRDefault="007D514F" w:rsidP="00066D09">
            <w:r>
              <w:rPr>
                <w:i/>
                <w:iCs/>
              </w:rPr>
              <w:t xml:space="preserve">Ixodes </w:t>
            </w:r>
            <w:proofErr w:type="spellStart"/>
            <w:r>
              <w:rPr>
                <w:i/>
                <w:iCs/>
              </w:rPr>
              <w:t>ricinus</w:t>
            </w:r>
            <w:proofErr w:type="spellEnd"/>
            <w:r>
              <w:t xml:space="preserve"> — nymphes</w:t>
            </w:r>
          </w:p>
        </w:tc>
        <w:tc>
          <w:tcPr>
            <w:tcW w:w="2213"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2AE68495" w14:textId="77777777" w:rsidR="007D514F" w:rsidRDefault="007D514F" w:rsidP="00066D09">
            <w:pPr>
              <w:jc w:val="center"/>
            </w:pPr>
            <w:r>
              <w:rPr>
                <w:sz w:val="20"/>
                <w:szCs w:val="20"/>
              </w:rPr>
              <w:t>298</w:t>
            </w:r>
          </w:p>
        </w:tc>
        <w:tc>
          <w:tcPr>
            <w:tcW w:w="2613"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68792244" w14:textId="77777777" w:rsidR="007D514F" w:rsidRDefault="007D514F" w:rsidP="00066D09">
            <w:pPr>
              <w:jc w:val="center"/>
            </w:pPr>
            <w:r>
              <w:rPr>
                <w:sz w:val="20"/>
                <w:szCs w:val="20"/>
              </w:rPr>
              <w:t>72,7 %</w:t>
            </w:r>
          </w:p>
        </w:tc>
      </w:tr>
      <w:tr w:rsidR="007D514F" w14:paraId="3A9B933A" w14:textId="77777777" w:rsidTr="00066D09">
        <w:tc>
          <w:tcPr>
            <w:tcW w:w="4200"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tcPr>
          <w:p w14:paraId="3425F828" w14:textId="77777777" w:rsidR="007D514F" w:rsidRDefault="007D514F" w:rsidP="00066D09">
            <w:r>
              <w:rPr>
                <w:i/>
                <w:iCs/>
              </w:rPr>
              <w:t xml:space="preserve">Ixodes </w:t>
            </w:r>
            <w:proofErr w:type="spellStart"/>
            <w:r>
              <w:rPr>
                <w:i/>
                <w:iCs/>
              </w:rPr>
              <w:t>ricinus</w:t>
            </w:r>
            <w:proofErr w:type="spellEnd"/>
            <w:r>
              <w:t xml:space="preserve"> — larves</w:t>
            </w:r>
          </w:p>
        </w:tc>
        <w:tc>
          <w:tcPr>
            <w:tcW w:w="2213"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2FADE642" w14:textId="77777777" w:rsidR="007D514F" w:rsidRDefault="007D514F" w:rsidP="00066D09">
            <w:pPr>
              <w:jc w:val="center"/>
            </w:pPr>
            <w:r>
              <w:rPr>
                <w:sz w:val="20"/>
                <w:szCs w:val="20"/>
              </w:rPr>
              <w:t>55</w:t>
            </w:r>
          </w:p>
        </w:tc>
        <w:tc>
          <w:tcPr>
            <w:tcW w:w="2613"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3D672FA5" w14:textId="77777777" w:rsidR="007D514F" w:rsidRDefault="007D514F" w:rsidP="00066D09">
            <w:pPr>
              <w:jc w:val="center"/>
            </w:pPr>
            <w:r>
              <w:rPr>
                <w:sz w:val="20"/>
                <w:szCs w:val="20"/>
              </w:rPr>
              <w:t>13,4 %</w:t>
            </w:r>
          </w:p>
        </w:tc>
      </w:tr>
      <w:tr w:rsidR="007D514F" w14:paraId="54865CAC" w14:textId="77777777" w:rsidTr="00066D09">
        <w:tc>
          <w:tcPr>
            <w:tcW w:w="4200"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tcPr>
          <w:p w14:paraId="7D6BDA14" w14:textId="77777777" w:rsidR="007D514F" w:rsidRDefault="007D514F" w:rsidP="00066D09">
            <w:r>
              <w:rPr>
                <w:i/>
                <w:iCs/>
              </w:rPr>
              <w:t xml:space="preserve">Ixodes </w:t>
            </w:r>
            <w:proofErr w:type="spellStart"/>
            <w:r>
              <w:rPr>
                <w:i/>
                <w:iCs/>
              </w:rPr>
              <w:t>ricinus</w:t>
            </w:r>
            <w:proofErr w:type="spellEnd"/>
            <w:r>
              <w:t xml:space="preserve"> — femelles adultes</w:t>
            </w:r>
          </w:p>
        </w:tc>
        <w:tc>
          <w:tcPr>
            <w:tcW w:w="2213"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2D9A3272" w14:textId="77777777" w:rsidR="007D514F" w:rsidRDefault="007D514F" w:rsidP="00066D09">
            <w:pPr>
              <w:jc w:val="center"/>
            </w:pPr>
            <w:r>
              <w:rPr>
                <w:sz w:val="20"/>
                <w:szCs w:val="20"/>
              </w:rPr>
              <w:t>15</w:t>
            </w:r>
          </w:p>
        </w:tc>
        <w:tc>
          <w:tcPr>
            <w:tcW w:w="2613"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0F8DF896" w14:textId="77777777" w:rsidR="007D514F" w:rsidRDefault="007D514F" w:rsidP="00066D09">
            <w:pPr>
              <w:jc w:val="center"/>
            </w:pPr>
            <w:r>
              <w:rPr>
                <w:sz w:val="20"/>
                <w:szCs w:val="20"/>
              </w:rPr>
              <w:t>3,7 %</w:t>
            </w:r>
          </w:p>
        </w:tc>
      </w:tr>
      <w:tr w:rsidR="007D514F" w14:paraId="7B791EF8" w14:textId="77777777" w:rsidTr="00066D09">
        <w:tc>
          <w:tcPr>
            <w:tcW w:w="4200"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tcPr>
          <w:p w14:paraId="419E0595" w14:textId="77777777" w:rsidR="007D514F" w:rsidRDefault="007D514F" w:rsidP="00066D09">
            <w:r>
              <w:rPr>
                <w:i/>
                <w:iCs/>
              </w:rPr>
              <w:t xml:space="preserve">Ixodes </w:t>
            </w:r>
            <w:proofErr w:type="spellStart"/>
            <w:r>
              <w:rPr>
                <w:i/>
                <w:iCs/>
              </w:rPr>
              <w:t>ricinus</w:t>
            </w:r>
            <w:proofErr w:type="spellEnd"/>
            <w:r>
              <w:t xml:space="preserve"> — mâles adultes</w:t>
            </w:r>
          </w:p>
        </w:tc>
        <w:tc>
          <w:tcPr>
            <w:tcW w:w="2213"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6648E976" w14:textId="77777777" w:rsidR="007D514F" w:rsidRDefault="007D514F" w:rsidP="00066D09">
            <w:pPr>
              <w:jc w:val="center"/>
            </w:pPr>
            <w:r>
              <w:rPr>
                <w:sz w:val="20"/>
                <w:szCs w:val="20"/>
              </w:rPr>
              <w:t>18</w:t>
            </w:r>
          </w:p>
        </w:tc>
        <w:tc>
          <w:tcPr>
            <w:tcW w:w="2613"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163146E3" w14:textId="77777777" w:rsidR="007D514F" w:rsidRDefault="007D514F" w:rsidP="00066D09">
            <w:pPr>
              <w:jc w:val="center"/>
            </w:pPr>
            <w:r>
              <w:rPr>
                <w:sz w:val="20"/>
                <w:szCs w:val="20"/>
              </w:rPr>
              <w:t>4,4 %</w:t>
            </w:r>
          </w:p>
        </w:tc>
      </w:tr>
      <w:tr w:rsidR="007D514F" w14:paraId="00FB4BE7" w14:textId="77777777" w:rsidTr="00066D09">
        <w:tc>
          <w:tcPr>
            <w:tcW w:w="4200"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tcPr>
          <w:p w14:paraId="70A60C3F" w14:textId="77777777" w:rsidR="007D514F" w:rsidRDefault="007D514F" w:rsidP="00066D09">
            <w:proofErr w:type="spellStart"/>
            <w:r>
              <w:rPr>
                <w:i/>
                <w:iCs/>
              </w:rPr>
              <w:t>Dermacentor</w:t>
            </w:r>
            <w:proofErr w:type="spellEnd"/>
            <w:r>
              <w:rPr>
                <w:i/>
                <w:iCs/>
              </w:rPr>
              <w:t xml:space="preserve"> </w:t>
            </w:r>
            <w:proofErr w:type="spellStart"/>
            <w:r>
              <w:rPr>
                <w:i/>
                <w:iCs/>
              </w:rPr>
              <w:t>reticulatus</w:t>
            </w:r>
            <w:proofErr w:type="spellEnd"/>
            <w:r>
              <w:t xml:space="preserve"> — femelles</w:t>
            </w:r>
          </w:p>
        </w:tc>
        <w:tc>
          <w:tcPr>
            <w:tcW w:w="2213"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2D30CC57" w14:textId="77777777" w:rsidR="007D514F" w:rsidRDefault="007D514F" w:rsidP="00066D09">
            <w:pPr>
              <w:jc w:val="center"/>
            </w:pPr>
            <w:r>
              <w:rPr>
                <w:sz w:val="20"/>
                <w:szCs w:val="20"/>
              </w:rPr>
              <w:t>13</w:t>
            </w:r>
          </w:p>
        </w:tc>
        <w:tc>
          <w:tcPr>
            <w:tcW w:w="2613"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441BFE65" w14:textId="77777777" w:rsidR="007D514F" w:rsidRDefault="007D514F" w:rsidP="00066D09">
            <w:pPr>
              <w:jc w:val="center"/>
            </w:pPr>
            <w:r>
              <w:rPr>
                <w:sz w:val="20"/>
                <w:szCs w:val="20"/>
              </w:rPr>
              <w:t>3,2 %</w:t>
            </w:r>
          </w:p>
        </w:tc>
      </w:tr>
      <w:tr w:rsidR="007D514F" w14:paraId="187B4D12" w14:textId="77777777" w:rsidTr="00066D09">
        <w:tc>
          <w:tcPr>
            <w:tcW w:w="4200"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tcPr>
          <w:p w14:paraId="439B7CEA" w14:textId="77777777" w:rsidR="007D514F" w:rsidRDefault="007D514F" w:rsidP="00066D09">
            <w:proofErr w:type="spellStart"/>
            <w:r>
              <w:rPr>
                <w:i/>
                <w:iCs/>
              </w:rPr>
              <w:t>Dermacentor</w:t>
            </w:r>
            <w:proofErr w:type="spellEnd"/>
            <w:r>
              <w:rPr>
                <w:i/>
                <w:iCs/>
              </w:rPr>
              <w:t xml:space="preserve"> </w:t>
            </w:r>
            <w:proofErr w:type="spellStart"/>
            <w:r>
              <w:rPr>
                <w:i/>
                <w:iCs/>
              </w:rPr>
              <w:t>reticulatus</w:t>
            </w:r>
            <w:proofErr w:type="spellEnd"/>
            <w:r>
              <w:t xml:space="preserve"> — mâles</w:t>
            </w:r>
          </w:p>
        </w:tc>
        <w:tc>
          <w:tcPr>
            <w:tcW w:w="2213"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3F13E5FD" w14:textId="77777777" w:rsidR="007D514F" w:rsidRDefault="007D514F" w:rsidP="00066D09">
            <w:pPr>
              <w:jc w:val="center"/>
            </w:pPr>
            <w:r>
              <w:rPr>
                <w:sz w:val="20"/>
                <w:szCs w:val="20"/>
              </w:rPr>
              <w:t>11</w:t>
            </w:r>
          </w:p>
        </w:tc>
        <w:tc>
          <w:tcPr>
            <w:tcW w:w="2613"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796AFD10" w14:textId="77777777" w:rsidR="007D514F" w:rsidRDefault="007D514F" w:rsidP="00066D09">
            <w:pPr>
              <w:jc w:val="center"/>
            </w:pPr>
            <w:r>
              <w:rPr>
                <w:sz w:val="20"/>
                <w:szCs w:val="20"/>
              </w:rPr>
              <w:t>2,7 %</w:t>
            </w:r>
          </w:p>
        </w:tc>
      </w:tr>
      <w:tr w:rsidR="007D514F" w14:paraId="5340DDA5" w14:textId="77777777" w:rsidTr="00066D09">
        <w:tc>
          <w:tcPr>
            <w:tcW w:w="4200" w:type="dxa"/>
            <w:tcBorders>
              <w:top w:val="single" w:sz="2" w:space="0" w:color="808080"/>
              <w:left w:val="single" w:sz="2" w:space="0" w:color="808080"/>
              <w:bottom w:val="single" w:sz="2" w:space="0" w:color="808080"/>
              <w:right w:val="single" w:sz="2" w:space="0" w:color="808080"/>
            </w:tcBorders>
            <w:shd w:val="clear" w:color="auto" w:fill="F2F2F2"/>
            <w:tcMar>
              <w:top w:w="80" w:type="dxa"/>
              <w:left w:w="120" w:type="dxa"/>
              <w:bottom w:w="80" w:type="dxa"/>
              <w:right w:w="120" w:type="dxa"/>
            </w:tcMar>
            <w:vAlign w:val="center"/>
          </w:tcPr>
          <w:p w14:paraId="4D486190" w14:textId="77777777" w:rsidR="007D514F" w:rsidRDefault="007D514F" w:rsidP="00066D09">
            <w:r>
              <w:rPr>
                <w:b/>
                <w:bCs/>
                <w:sz w:val="20"/>
                <w:szCs w:val="20"/>
              </w:rPr>
              <w:t>Total</w:t>
            </w:r>
          </w:p>
        </w:tc>
        <w:tc>
          <w:tcPr>
            <w:tcW w:w="2213" w:type="dxa"/>
            <w:tcBorders>
              <w:top w:val="single" w:sz="2" w:space="0" w:color="808080"/>
              <w:left w:val="single" w:sz="2" w:space="0" w:color="808080"/>
              <w:bottom w:val="single" w:sz="2" w:space="0" w:color="808080"/>
              <w:right w:val="single" w:sz="2" w:space="0" w:color="808080"/>
            </w:tcBorders>
            <w:shd w:val="clear" w:color="auto" w:fill="F2F2F2"/>
            <w:tcMar>
              <w:top w:w="80" w:type="dxa"/>
              <w:left w:w="120" w:type="dxa"/>
              <w:bottom w:w="80" w:type="dxa"/>
              <w:right w:w="120" w:type="dxa"/>
            </w:tcMar>
            <w:vAlign w:val="center"/>
          </w:tcPr>
          <w:p w14:paraId="6CD3A9BA" w14:textId="77777777" w:rsidR="007D514F" w:rsidRDefault="007D514F" w:rsidP="00066D09">
            <w:pPr>
              <w:jc w:val="center"/>
            </w:pPr>
            <w:r>
              <w:rPr>
                <w:b/>
                <w:bCs/>
                <w:sz w:val="20"/>
                <w:szCs w:val="20"/>
              </w:rPr>
              <w:t>410</w:t>
            </w:r>
          </w:p>
        </w:tc>
        <w:tc>
          <w:tcPr>
            <w:tcW w:w="2613" w:type="dxa"/>
            <w:tcBorders>
              <w:top w:val="single" w:sz="2" w:space="0" w:color="808080"/>
              <w:left w:val="single" w:sz="2" w:space="0" w:color="808080"/>
              <w:bottom w:val="single" w:sz="2" w:space="0" w:color="808080"/>
              <w:right w:val="single" w:sz="2" w:space="0" w:color="808080"/>
            </w:tcBorders>
            <w:shd w:val="clear" w:color="auto" w:fill="F2F2F2"/>
            <w:tcMar>
              <w:top w:w="80" w:type="dxa"/>
              <w:left w:w="120" w:type="dxa"/>
              <w:bottom w:w="80" w:type="dxa"/>
              <w:right w:w="120" w:type="dxa"/>
            </w:tcMar>
            <w:vAlign w:val="center"/>
          </w:tcPr>
          <w:p w14:paraId="0F232B4D" w14:textId="77777777" w:rsidR="007D514F" w:rsidRDefault="007D514F" w:rsidP="00066D09">
            <w:pPr>
              <w:jc w:val="center"/>
            </w:pPr>
            <w:r>
              <w:rPr>
                <w:b/>
                <w:bCs/>
                <w:sz w:val="20"/>
                <w:szCs w:val="20"/>
              </w:rPr>
              <w:t>100 %</w:t>
            </w:r>
          </w:p>
        </w:tc>
      </w:tr>
    </w:tbl>
    <w:p w14:paraId="7A83F760" w14:textId="77777777" w:rsidR="007D514F" w:rsidRDefault="007D514F" w:rsidP="007D514F">
      <w:pPr>
        <w:spacing w:after="120"/>
      </w:pPr>
    </w:p>
    <w:p w14:paraId="33B6286B" w14:textId="1CD590BB" w:rsidR="007D514F" w:rsidRDefault="007D514F" w:rsidP="007D514F">
      <w:pPr>
        <w:spacing w:after="120" w:line="320" w:lineRule="auto"/>
        <w:jc w:val="both"/>
      </w:pPr>
      <w:r>
        <w:rPr>
          <w:i/>
          <w:iCs/>
        </w:rPr>
        <w:t xml:space="preserve">Ixodes </w:t>
      </w:r>
      <w:proofErr w:type="spellStart"/>
      <w:r>
        <w:rPr>
          <w:i/>
          <w:iCs/>
        </w:rPr>
        <w:t>ricinus</w:t>
      </w:r>
      <w:proofErr w:type="spellEnd"/>
      <w:r>
        <w:t xml:space="preserve"> domine largement (91 % des tiques), conformément aux données régionales</w:t>
      </w:r>
      <w:r w:rsidR="008B4415">
        <w:t xml:space="preserve"> 2025</w:t>
      </w:r>
      <w:r>
        <w:t xml:space="preserve"> du programme </w:t>
      </w:r>
      <w:proofErr w:type="spellStart"/>
      <w:r>
        <w:t>CiTIQUE</w:t>
      </w:r>
      <w:proofErr w:type="spellEnd"/>
      <w:r w:rsidR="008B4415">
        <w:t xml:space="preserve"> (Durand et al., 2026)</w:t>
      </w:r>
      <w:r>
        <w:t xml:space="preserve">. La prédominance des </w:t>
      </w:r>
      <w:r>
        <w:rPr>
          <w:b/>
          <w:bCs/>
        </w:rPr>
        <w:t>stades nymphaux</w:t>
      </w:r>
      <w:r>
        <w:t xml:space="preserve"> (72,7 %) revêt une importance épidémiologique : ces stades, de petite taille, passent souvent inaperçus tant chez l'éleveur que sur les animaux, tout en étant pleinement compétents pour la transmission d'agents pathogènes (Gern, 2008).</w:t>
      </w:r>
    </w:p>
    <w:p w14:paraId="6E39652A" w14:textId="77777777" w:rsidR="007D514F" w:rsidRDefault="007D514F" w:rsidP="007D514F">
      <w:pPr>
        <w:spacing w:before="200" w:after="100"/>
      </w:pPr>
      <w:r>
        <w:rPr>
          <w:b/>
          <w:bCs/>
          <w:sz w:val="23"/>
          <w:szCs w:val="23"/>
        </w:rPr>
        <w:t>3.3 Agents pathogènes détectés dans les tiques</w:t>
      </w:r>
    </w:p>
    <w:p w14:paraId="2AEAE35C" w14:textId="1DB7E091" w:rsidR="007D514F" w:rsidRDefault="007D514F" w:rsidP="007D514F">
      <w:pPr>
        <w:spacing w:after="120" w:line="320" w:lineRule="auto"/>
        <w:jc w:val="both"/>
      </w:pPr>
      <w:r>
        <w:t xml:space="preserve">La PCR multiplex réalisée par l'ANSES a permis de détecter </w:t>
      </w:r>
      <w:proofErr w:type="gramStart"/>
      <w:r>
        <w:t xml:space="preserve">quatre </w:t>
      </w:r>
      <w:r w:rsidR="008B4415">
        <w:t>agent pathogènes</w:t>
      </w:r>
      <w:proofErr w:type="gramEnd"/>
      <w:r>
        <w:t xml:space="preserve"> d'intérêt sanitaire majeur :</w:t>
      </w:r>
    </w:p>
    <w:p w14:paraId="102117DE" w14:textId="77777777" w:rsidR="007D514F" w:rsidRDefault="007D514F" w:rsidP="007D514F"/>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2500"/>
        <w:gridCol w:w="3526"/>
      </w:tblGrid>
      <w:tr w:rsidR="007D514F" w14:paraId="7AB0C896" w14:textId="77777777" w:rsidTr="00066D09">
        <w:trPr>
          <w:tblHeader/>
        </w:trPr>
        <w:tc>
          <w:tcPr>
            <w:tcW w:w="3000" w:type="dxa"/>
            <w:tcBorders>
              <w:top w:val="single" w:sz="2" w:space="0" w:color="808080"/>
              <w:left w:val="single" w:sz="2" w:space="0" w:color="808080"/>
              <w:bottom w:val="single" w:sz="2" w:space="0" w:color="808080"/>
              <w:right w:val="single" w:sz="2" w:space="0" w:color="808080"/>
            </w:tcBorders>
            <w:shd w:val="clear" w:color="auto" w:fill="D9E2F3"/>
            <w:tcMar>
              <w:top w:w="80" w:type="dxa"/>
              <w:left w:w="120" w:type="dxa"/>
              <w:bottom w:w="80" w:type="dxa"/>
              <w:right w:w="120" w:type="dxa"/>
            </w:tcMar>
            <w:vAlign w:val="center"/>
          </w:tcPr>
          <w:p w14:paraId="609D5226" w14:textId="77777777" w:rsidR="007D514F" w:rsidRDefault="007D514F" w:rsidP="00066D09">
            <w:r>
              <w:rPr>
                <w:b/>
                <w:bCs/>
                <w:sz w:val="20"/>
                <w:szCs w:val="20"/>
              </w:rPr>
              <w:t>Agent pathogène</w:t>
            </w:r>
          </w:p>
        </w:tc>
        <w:tc>
          <w:tcPr>
            <w:tcW w:w="2500" w:type="dxa"/>
            <w:tcBorders>
              <w:top w:val="single" w:sz="2" w:space="0" w:color="808080"/>
              <w:left w:val="single" w:sz="2" w:space="0" w:color="808080"/>
              <w:bottom w:val="single" w:sz="2" w:space="0" w:color="808080"/>
              <w:right w:val="single" w:sz="2" w:space="0" w:color="808080"/>
            </w:tcBorders>
            <w:shd w:val="clear" w:color="auto" w:fill="D9E2F3"/>
            <w:tcMar>
              <w:top w:w="80" w:type="dxa"/>
              <w:left w:w="120" w:type="dxa"/>
              <w:bottom w:w="80" w:type="dxa"/>
              <w:right w:w="120" w:type="dxa"/>
            </w:tcMar>
            <w:vAlign w:val="center"/>
          </w:tcPr>
          <w:p w14:paraId="0E6565FB" w14:textId="77777777" w:rsidR="007D514F" w:rsidRDefault="007D514F" w:rsidP="00066D09">
            <w:pPr>
              <w:jc w:val="center"/>
            </w:pPr>
            <w:r>
              <w:rPr>
                <w:b/>
                <w:bCs/>
                <w:sz w:val="20"/>
                <w:szCs w:val="20"/>
              </w:rPr>
              <w:t>Pools positifs</w:t>
            </w:r>
          </w:p>
        </w:tc>
        <w:tc>
          <w:tcPr>
            <w:tcW w:w="3526" w:type="dxa"/>
            <w:tcBorders>
              <w:top w:val="single" w:sz="2" w:space="0" w:color="808080"/>
              <w:left w:val="single" w:sz="2" w:space="0" w:color="808080"/>
              <w:bottom w:val="single" w:sz="2" w:space="0" w:color="808080"/>
              <w:right w:val="single" w:sz="2" w:space="0" w:color="808080"/>
            </w:tcBorders>
            <w:shd w:val="clear" w:color="auto" w:fill="D9E2F3"/>
            <w:tcMar>
              <w:top w:w="80" w:type="dxa"/>
              <w:left w:w="120" w:type="dxa"/>
              <w:bottom w:w="80" w:type="dxa"/>
              <w:right w:w="120" w:type="dxa"/>
            </w:tcMar>
            <w:vAlign w:val="center"/>
          </w:tcPr>
          <w:p w14:paraId="6306106B" w14:textId="77777777" w:rsidR="007D514F" w:rsidRDefault="007D514F" w:rsidP="00066D09">
            <w:r>
              <w:rPr>
                <w:b/>
                <w:bCs/>
                <w:sz w:val="20"/>
                <w:szCs w:val="20"/>
              </w:rPr>
              <w:t>Pathologie associée</w:t>
            </w:r>
          </w:p>
        </w:tc>
      </w:tr>
      <w:tr w:rsidR="007D514F" w14:paraId="1042CAB0" w14:textId="77777777" w:rsidTr="00066D09">
        <w:tc>
          <w:tcPr>
            <w:tcW w:w="3000"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tcPr>
          <w:p w14:paraId="6B0C1C06" w14:textId="77777777" w:rsidR="007D514F" w:rsidRDefault="007D514F" w:rsidP="00066D09">
            <w:proofErr w:type="spellStart"/>
            <w:r>
              <w:rPr>
                <w:i/>
                <w:iCs/>
              </w:rPr>
              <w:t>Anaplasma</w:t>
            </w:r>
            <w:proofErr w:type="spellEnd"/>
            <w:r>
              <w:t xml:space="preserve"> </w:t>
            </w:r>
            <w:proofErr w:type="spellStart"/>
            <w:r>
              <w:t>spp</w:t>
            </w:r>
            <w:proofErr w:type="spellEnd"/>
            <w:r>
              <w:t>.</w:t>
            </w:r>
          </w:p>
        </w:tc>
        <w:tc>
          <w:tcPr>
            <w:tcW w:w="2500"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4A9C03FF" w14:textId="77777777" w:rsidR="007D514F" w:rsidRDefault="007D514F" w:rsidP="00066D09">
            <w:pPr>
              <w:jc w:val="center"/>
            </w:pPr>
            <w:r>
              <w:rPr>
                <w:sz w:val="20"/>
                <w:szCs w:val="20"/>
              </w:rPr>
              <w:t>64 %</w:t>
            </w:r>
          </w:p>
        </w:tc>
        <w:tc>
          <w:tcPr>
            <w:tcW w:w="3526"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5E52242D" w14:textId="77777777" w:rsidR="007D514F" w:rsidRDefault="007D514F" w:rsidP="00066D09">
            <w:r>
              <w:rPr>
                <w:sz w:val="20"/>
                <w:szCs w:val="20"/>
              </w:rPr>
              <w:t xml:space="preserve">Ehrlichiose, </w:t>
            </w:r>
            <w:proofErr w:type="spellStart"/>
            <w:r>
              <w:rPr>
                <w:sz w:val="20"/>
                <w:szCs w:val="20"/>
              </w:rPr>
              <w:t>anaplasmose</w:t>
            </w:r>
            <w:proofErr w:type="spellEnd"/>
          </w:p>
        </w:tc>
      </w:tr>
      <w:tr w:rsidR="007D514F" w14:paraId="61C09911" w14:textId="77777777" w:rsidTr="00066D09">
        <w:tc>
          <w:tcPr>
            <w:tcW w:w="3000"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tcPr>
          <w:p w14:paraId="6D666A79" w14:textId="77777777" w:rsidR="007D514F" w:rsidRDefault="007D514F" w:rsidP="00066D09">
            <w:r>
              <w:rPr>
                <w:i/>
                <w:iCs/>
              </w:rPr>
              <w:t>Borrelia</w:t>
            </w:r>
            <w:r>
              <w:t xml:space="preserve"> </w:t>
            </w:r>
            <w:proofErr w:type="spellStart"/>
            <w:r>
              <w:t>spp</w:t>
            </w:r>
            <w:proofErr w:type="spellEnd"/>
            <w:r>
              <w:t>.</w:t>
            </w:r>
          </w:p>
        </w:tc>
        <w:tc>
          <w:tcPr>
            <w:tcW w:w="2500"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0D0F8811" w14:textId="77777777" w:rsidR="007D514F" w:rsidRDefault="007D514F" w:rsidP="00066D09">
            <w:pPr>
              <w:jc w:val="center"/>
            </w:pPr>
            <w:r>
              <w:rPr>
                <w:sz w:val="20"/>
                <w:szCs w:val="20"/>
              </w:rPr>
              <w:t>59 %</w:t>
            </w:r>
          </w:p>
        </w:tc>
        <w:tc>
          <w:tcPr>
            <w:tcW w:w="3526"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27E39B11" w14:textId="77777777" w:rsidR="007D514F" w:rsidRDefault="007D514F" w:rsidP="00066D09">
            <w:r>
              <w:rPr>
                <w:sz w:val="20"/>
                <w:szCs w:val="20"/>
              </w:rPr>
              <w:t>Borréliose (maladie de Lyme)</w:t>
            </w:r>
          </w:p>
        </w:tc>
      </w:tr>
      <w:tr w:rsidR="007D514F" w14:paraId="51A2E654" w14:textId="77777777" w:rsidTr="00066D09">
        <w:tc>
          <w:tcPr>
            <w:tcW w:w="3000"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tcPr>
          <w:p w14:paraId="34BCFC5D" w14:textId="77777777" w:rsidR="007D514F" w:rsidRDefault="007D514F" w:rsidP="00066D09">
            <w:r>
              <w:rPr>
                <w:i/>
                <w:iCs/>
              </w:rPr>
              <w:t>Rickettsia</w:t>
            </w:r>
            <w:r>
              <w:t xml:space="preserve"> </w:t>
            </w:r>
            <w:proofErr w:type="spellStart"/>
            <w:r>
              <w:t>spp</w:t>
            </w:r>
            <w:proofErr w:type="spellEnd"/>
            <w:r>
              <w:t>.</w:t>
            </w:r>
          </w:p>
        </w:tc>
        <w:tc>
          <w:tcPr>
            <w:tcW w:w="2500"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512A57CC" w14:textId="77777777" w:rsidR="007D514F" w:rsidRDefault="007D514F" w:rsidP="00066D09">
            <w:pPr>
              <w:jc w:val="center"/>
            </w:pPr>
            <w:r>
              <w:rPr>
                <w:sz w:val="20"/>
                <w:szCs w:val="20"/>
              </w:rPr>
              <w:t>59 %</w:t>
            </w:r>
          </w:p>
        </w:tc>
        <w:tc>
          <w:tcPr>
            <w:tcW w:w="3526"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6077090B" w14:textId="77777777" w:rsidR="007D514F" w:rsidRDefault="007D514F" w:rsidP="00066D09">
            <w:r>
              <w:rPr>
                <w:sz w:val="20"/>
                <w:szCs w:val="20"/>
              </w:rPr>
              <w:t>Rickettsioses</w:t>
            </w:r>
          </w:p>
        </w:tc>
      </w:tr>
      <w:tr w:rsidR="007D514F" w14:paraId="6C012959" w14:textId="77777777" w:rsidTr="00066D09">
        <w:tc>
          <w:tcPr>
            <w:tcW w:w="3000"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tcPr>
          <w:p w14:paraId="716AFD9A" w14:textId="77777777" w:rsidR="007D514F" w:rsidRDefault="007D514F" w:rsidP="00066D09">
            <w:r>
              <w:rPr>
                <w:i/>
                <w:iCs/>
              </w:rPr>
              <w:t>Ehrlichia</w:t>
            </w:r>
            <w:r>
              <w:t xml:space="preserve"> </w:t>
            </w:r>
            <w:proofErr w:type="spellStart"/>
            <w:r>
              <w:t>spp</w:t>
            </w:r>
            <w:proofErr w:type="spellEnd"/>
            <w:r>
              <w:t>.</w:t>
            </w:r>
          </w:p>
        </w:tc>
        <w:tc>
          <w:tcPr>
            <w:tcW w:w="2500"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308FFC06" w14:textId="77777777" w:rsidR="007D514F" w:rsidRDefault="007D514F" w:rsidP="00066D09">
            <w:pPr>
              <w:jc w:val="center"/>
            </w:pPr>
            <w:r>
              <w:rPr>
                <w:sz w:val="20"/>
                <w:szCs w:val="20"/>
              </w:rPr>
              <w:t>23 %</w:t>
            </w:r>
          </w:p>
        </w:tc>
        <w:tc>
          <w:tcPr>
            <w:tcW w:w="3526" w:type="dxa"/>
            <w:tcBorders>
              <w:top w:val="single" w:sz="2" w:space="0" w:color="808080"/>
              <w:left w:val="single" w:sz="2" w:space="0" w:color="808080"/>
              <w:bottom w:val="single" w:sz="2" w:space="0" w:color="808080"/>
              <w:right w:val="single" w:sz="2" w:space="0" w:color="808080"/>
            </w:tcBorders>
            <w:tcMar>
              <w:top w:w="80" w:type="dxa"/>
              <w:left w:w="120" w:type="dxa"/>
              <w:bottom w:w="80" w:type="dxa"/>
              <w:right w:w="120" w:type="dxa"/>
            </w:tcMar>
            <w:vAlign w:val="center"/>
          </w:tcPr>
          <w:p w14:paraId="1EC44E6B" w14:textId="77777777" w:rsidR="007D514F" w:rsidRDefault="007D514F" w:rsidP="00066D09">
            <w:r>
              <w:rPr>
                <w:sz w:val="20"/>
                <w:szCs w:val="20"/>
              </w:rPr>
              <w:t>Ehrlichiose</w:t>
            </w:r>
          </w:p>
        </w:tc>
      </w:tr>
    </w:tbl>
    <w:p w14:paraId="039C2A4E" w14:textId="77777777" w:rsidR="007D514F" w:rsidRDefault="007D514F" w:rsidP="007D514F">
      <w:pPr>
        <w:spacing w:after="120"/>
      </w:pPr>
    </w:p>
    <w:p w14:paraId="190FA644" w14:textId="77777777" w:rsidR="007D514F" w:rsidRDefault="007D514F" w:rsidP="007D514F">
      <w:pPr>
        <w:spacing w:after="120" w:line="320" w:lineRule="auto"/>
        <w:jc w:val="both"/>
      </w:pPr>
      <w:r>
        <w:t xml:space="preserve">Une </w:t>
      </w:r>
      <w:r>
        <w:rPr>
          <w:b/>
          <w:bCs/>
        </w:rPr>
        <w:t xml:space="preserve">co-infection </w:t>
      </w:r>
      <w:proofErr w:type="spellStart"/>
      <w:r>
        <w:rPr>
          <w:i/>
          <w:iCs/>
        </w:rPr>
        <w:t>Anaplasma</w:t>
      </w:r>
      <w:proofErr w:type="spellEnd"/>
      <w:r>
        <w:t xml:space="preserve"> + </w:t>
      </w:r>
      <w:r>
        <w:rPr>
          <w:i/>
          <w:iCs/>
        </w:rPr>
        <w:t>Borrelia</w:t>
      </w:r>
      <w:r>
        <w:t xml:space="preserve"> a été observée dans 80 % des pools positifs à </w:t>
      </w:r>
      <w:proofErr w:type="spellStart"/>
      <w:r>
        <w:rPr>
          <w:i/>
          <w:iCs/>
        </w:rPr>
        <w:t>Anaplasma</w:t>
      </w:r>
      <w:proofErr w:type="spellEnd"/>
      <w:r>
        <w:t xml:space="preserve">, suggérant une </w:t>
      </w:r>
      <w:proofErr w:type="spellStart"/>
      <w:r w:rsidRPr="008B4415">
        <w:rPr>
          <w:b/>
          <w:bCs/>
        </w:rPr>
        <w:t>co</w:t>
      </w:r>
      <w:proofErr w:type="spellEnd"/>
      <w:r w:rsidRPr="008B4415">
        <w:rPr>
          <w:b/>
          <w:bCs/>
        </w:rPr>
        <w:t>-circulation fréquente de ces deux agents</w:t>
      </w:r>
      <w:r>
        <w:t xml:space="preserve"> dans les tiques vosgiennes. Point sanitaire rassurant : </w:t>
      </w:r>
      <w:proofErr w:type="spellStart"/>
      <w:r>
        <w:rPr>
          <w:i/>
          <w:iCs/>
        </w:rPr>
        <w:t>Coxiella</w:t>
      </w:r>
      <w:proofErr w:type="spellEnd"/>
      <w:r>
        <w:rPr>
          <w:i/>
          <w:iCs/>
        </w:rPr>
        <w:t xml:space="preserve"> </w:t>
      </w:r>
      <w:proofErr w:type="spellStart"/>
      <w:r>
        <w:rPr>
          <w:i/>
          <w:iCs/>
        </w:rPr>
        <w:t>burnetii</w:t>
      </w:r>
      <w:proofErr w:type="spellEnd"/>
      <w:r>
        <w:t xml:space="preserve"> (agent de la fièvre Q) </w:t>
      </w:r>
      <w:r>
        <w:rPr>
          <w:b/>
          <w:bCs/>
        </w:rPr>
        <w:t>n'a pas été détecté</w:t>
      </w:r>
      <w:r>
        <w:t xml:space="preserve"> dans les tiques analysées, confortant l'hypothèse d'une transmission majoritairement non vectorielle de cette bactérie en élevage.</w:t>
      </w:r>
    </w:p>
    <w:p w14:paraId="086A2D76" w14:textId="77777777" w:rsidR="007D514F" w:rsidRDefault="007D514F" w:rsidP="007D514F">
      <w:pPr>
        <w:spacing w:before="200" w:after="100"/>
      </w:pPr>
      <w:r>
        <w:rPr>
          <w:b/>
          <w:bCs/>
          <w:sz w:val="23"/>
          <w:szCs w:val="23"/>
        </w:rPr>
        <w:t>3.4 Sérologies bovines</w:t>
      </w:r>
    </w:p>
    <w:p w14:paraId="6C5EC887" w14:textId="77777777" w:rsidR="007D514F" w:rsidRDefault="007D514F" w:rsidP="007D514F">
      <w:pPr>
        <w:spacing w:after="120" w:line="320" w:lineRule="auto"/>
        <w:jc w:val="both"/>
      </w:pPr>
      <w:r>
        <w:t xml:space="preserve">Sur les 277 bovins analysés en sérologie Borréliose, </w:t>
      </w:r>
      <w:r>
        <w:rPr>
          <w:b/>
          <w:bCs/>
        </w:rPr>
        <w:t>3 animaux (1,08 %)</w:t>
      </w:r>
      <w:r>
        <w:t xml:space="preserve"> ont été positifs. Cette faible prévalence doit être interprétée avec prudence en raison de la </w:t>
      </w:r>
      <w:r>
        <w:rPr>
          <w:b/>
          <w:bCs/>
        </w:rPr>
        <w:t>cinétique des anticorps anti-</w:t>
      </w:r>
      <w:r>
        <w:rPr>
          <w:i/>
          <w:iCs/>
        </w:rPr>
        <w:t>Borrelia</w:t>
      </w:r>
      <w:r>
        <w:rPr>
          <w:b/>
          <w:bCs/>
        </w:rPr>
        <w:t xml:space="preserve"> </w:t>
      </w:r>
      <w:r>
        <w:t>chez les bovins, peu sensible pour la détection d'infections anciennes.</w:t>
      </w:r>
    </w:p>
    <w:p w14:paraId="0B3FD9E2" w14:textId="536A0338" w:rsidR="007D514F" w:rsidRDefault="007D514F" w:rsidP="007D514F">
      <w:pPr>
        <w:spacing w:after="120" w:line="320" w:lineRule="auto"/>
        <w:jc w:val="both"/>
      </w:pPr>
      <w:r>
        <w:t xml:space="preserve">Sur les 197 bovins analysés en sérologie Ehrlichiose </w:t>
      </w:r>
      <w:r>
        <w:rPr>
          <w:i/>
          <w:iCs/>
        </w:rPr>
        <w:t>(immunofluorescence indirecte, LDA 24)</w:t>
      </w:r>
      <w:r>
        <w:t xml:space="preserve">, </w:t>
      </w:r>
      <w:r>
        <w:rPr>
          <w:b/>
          <w:bCs/>
        </w:rPr>
        <w:t>71 animaux (36,0 %)</w:t>
      </w:r>
      <w:r>
        <w:t xml:space="preserve"> ont été déclarés positifs. À l'échelle des cheptels, </w:t>
      </w:r>
      <w:r w:rsidRPr="008B4415">
        <w:t>22 des 29 élevages</w:t>
      </w:r>
      <w:r>
        <w:t xml:space="preserve"> étudiés présentaient au moins un animal positif, soit </w:t>
      </w:r>
      <w:r>
        <w:rPr>
          <w:b/>
          <w:bCs/>
        </w:rPr>
        <w:t>75,9 % des élevages</w:t>
      </w:r>
      <w:r>
        <w:t xml:space="preserve"> — confirmant une </w:t>
      </w:r>
      <w:r>
        <w:rPr>
          <w:b/>
          <w:bCs/>
        </w:rPr>
        <w:t xml:space="preserve">exposition </w:t>
      </w:r>
      <w:r>
        <w:rPr>
          <w:b/>
          <w:bCs/>
        </w:rPr>
        <w:lastRenderedPageBreak/>
        <w:t>large</w:t>
      </w:r>
      <w:r>
        <w:t xml:space="preserve"> à </w:t>
      </w:r>
      <w:proofErr w:type="spellStart"/>
      <w:r>
        <w:rPr>
          <w:i/>
          <w:iCs/>
        </w:rPr>
        <w:t>Anaplasma</w:t>
      </w:r>
      <w:proofErr w:type="spellEnd"/>
      <w:r>
        <w:rPr>
          <w:i/>
          <w:iCs/>
        </w:rPr>
        <w:t xml:space="preserve"> </w:t>
      </w:r>
      <w:proofErr w:type="spellStart"/>
      <w:r>
        <w:rPr>
          <w:i/>
          <w:iCs/>
        </w:rPr>
        <w:t>phagocytophilum</w:t>
      </w:r>
      <w:proofErr w:type="spellEnd"/>
      <w:r>
        <w:t xml:space="preserve"> dans les troupeaux vosgiens, qu'ils soient classés « cas</w:t>
      </w:r>
      <w:r w:rsidR="008B4415">
        <w:t xml:space="preserve"> positif</w:t>
      </w:r>
      <w:r>
        <w:t xml:space="preserve"> » ou « voisins </w:t>
      </w:r>
      <w:r w:rsidR="008B4415">
        <w:t xml:space="preserve">des positifs </w:t>
      </w:r>
      <w:r>
        <w:t>».</w:t>
      </w:r>
    </w:p>
    <w:p w14:paraId="2B9669E0" w14:textId="77777777" w:rsidR="007D514F" w:rsidRDefault="007D514F" w:rsidP="007D514F">
      <w:pPr>
        <w:spacing w:before="200" w:after="100"/>
      </w:pPr>
      <w:r>
        <w:rPr>
          <w:b/>
          <w:bCs/>
          <w:sz w:val="23"/>
          <w:szCs w:val="23"/>
        </w:rPr>
        <w:t>3.5 Croisements exploratoires — facteurs associés à la positivité</w:t>
      </w:r>
    </w:p>
    <w:p w14:paraId="446887BF" w14:textId="097EC1C0" w:rsidR="007D514F" w:rsidRDefault="007D514F" w:rsidP="007D514F">
      <w:pPr>
        <w:spacing w:after="120" w:line="320" w:lineRule="auto"/>
        <w:jc w:val="both"/>
      </w:pPr>
      <w:r>
        <w:t>Plusieurs croisements descriptifs ont été effectués entre la prévalence sérologique d'Ehrlichiose et des variables environnementales ou zootechniques. Compte tenu de la taille</w:t>
      </w:r>
      <w:r w:rsidR="001D3D5D">
        <w:t xml:space="preserve"> modeste</w:t>
      </w:r>
      <w:r>
        <w:t xml:space="preserve"> d'échantillon (29 élevages), ces résultats sont à considérer comme des </w:t>
      </w:r>
      <w:r w:rsidRPr="008B4415">
        <w:t>pistes exploratoires</w:t>
      </w:r>
      <w:r>
        <w:t xml:space="preserve"> non statistiquement significatives, mais dégageant des </w:t>
      </w:r>
      <w:r>
        <w:rPr>
          <w:b/>
          <w:bCs/>
        </w:rPr>
        <w:t>tendances</w:t>
      </w:r>
      <w:r>
        <w:t xml:space="preserve"> à approfondir dans une étude à plus grande échelle.</w:t>
      </w:r>
    </w:p>
    <w:p w14:paraId="1744EB54" w14:textId="69279E34" w:rsidR="008B4415" w:rsidRDefault="007D514F" w:rsidP="007D514F">
      <w:pPr>
        <w:spacing w:after="120" w:line="320" w:lineRule="auto"/>
        <w:jc w:val="both"/>
        <w:rPr>
          <w:b/>
          <w:bCs/>
        </w:rPr>
      </w:pPr>
      <w:r>
        <w:rPr>
          <w:b/>
          <w:bCs/>
        </w:rPr>
        <w:t>Comparaison cas / voisins</w:t>
      </w:r>
      <w:r w:rsidR="008B4415">
        <w:rPr>
          <w:b/>
          <w:bCs/>
        </w:rPr>
        <w:t> :</w:t>
      </w:r>
    </w:p>
    <w:p w14:paraId="792C8E43" w14:textId="77BEAD49" w:rsidR="007D514F" w:rsidRDefault="007D514F" w:rsidP="007D514F">
      <w:pPr>
        <w:spacing w:after="120" w:line="320" w:lineRule="auto"/>
        <w:jc w:val="both"/>
      </w:pPr>
      <w:r>
        <w:t xml:space="preserve">Les élevages classés « cas » (P1–P14) présentent une prévalence moyenne de 30,0 % d'animaux positifs, contre 22,7 % chez les voisins (Mann-Whitney </w:t>
      </w:r>
      <w:r>
        <w:rPr>
          <w:i/>
          <w:iCs/>
        </w:rPr>
        <w:t>p</w:t>
      </w:r>
      <w:r>
        <w:t xml:space="preserve"> = 0,27, </w:t>
      </w:r>
      <w:proofErr w:type="spellStart"/>
      <w:r>
        <w:t>n.s</w:t>
      </w:r>
      <w:proofErr w:type="spellEnd"/>
      <w:r>
        <w:t xml:space="preserve">.). Ce résultat confirme que la </w:t>
      </w:r>
      <w:r>
        <w:rPr>
          <w:b/>
          <w:bCs/>
        </w:rPr>
        <w:t>circulation d'</w:t>
      </w:r>
      <w:proofErr w:type="spellStart"/>
      <w:r>
        <w:rPr>
          <w:i/>
          <w:iCs/>
        </w:rPr>
        <w:t>Anaplasma</w:t>
      </w:r>
      <w:proofErr w:type="spellEnd"/>
      <w:r>
        <w:rPr>
          <w:i/>
          <w:iCs/>
        </w:rPr>
        <w:t xml:space="preserve"> </w:t>
      </w:r>
      <w:proofErr w:type="spellStart"/>
      <w:r>
        <w:rPr>
          <w:i/>
          <w:iCs/>
        </w:rPr>
        <w:t>phagocytophilum</w:t>
      </w:r>
      <w:proofErr w:type="spellEnd"/>
      <w:r>
        <w:rPr>
          <w:b/>
          <w:bCs/>
        </w:rPr>
        <w:t xml:space="preserve"> dépasse largement les élevages à historique connu</w:t>
      </w:r>
      <w:r w:rsidR="008B4415">
        <w:t xml:space="preserve"> à la suite d’avortements détectés ou non détectés (Pack PCR Multiplex LDA88/GDS88)</w:t>
      </w:r>
      <w:r w:rsidR="00B524AE">
        <w:t>.</w:t>
      </w:r>
    </w:p>
    <w:p w14:paraId="73B02557" w14:textId="77777777" w:rsidR="00B524AE" w:rsidRDefault="00B524AE" w:rsidP="00B524AE">
      <w:pPr>
        <w:spacing w:after="120" w:line="320" w:lineRule="auto"/>
        <w:jc w:val="both"/>
        <w:rPr>
          <w:b/>
          <w:bCs/>
        </w:rPr>
      </w:pPr>
      <w:r>
        <w:rPr>
          <w:b/>
          <w:bCs/>
        </w:rPr>
        <w:t>Typologie d'élevage :</w:t>
      </w:r>
    </w:p>
    <w:p w14:paraId="451B7456" w14:textId="422A8153" w:rsidR="00B524AE" w:rsidRDefault="00B524AE" w:rsidP="00B524AE">
      <w:pPr>
        <w:spacing w:after="120" w:line="320" w:lineRule="auto"/>
        <w:jc w:val="both"/>
      </w:pPr>
      <w:r>
        <w:rPr>
          <w:b/>
          <w:bCs/>
        </w:rPr>
        <w:t xml:space="preserve"> </w:t>
      </w:r>
      <w:r>
        <w:t xml:space="preserve">Les élevages </w:t>
      </w:r>
      <w:r>
        <w:rPr>
          <w:b/>
          <w:bCs/>
        </w:rPr>
        <w:t>allaitants</w:t>
      </w:r>
      <w:r>
        <w:t xml:space="preserve"> présentent la prévalence la plus élevée (</w:t>
      </w:r>
      <w:r>
        <w:rPr>
          <w:b/>
          <w:bCs/>
        </w:rPr>
        <w:t>42,9 %</w:t>
      </w:r>
      <w:r>
        <w:t xml:space="preserve"> d'animaux positifs, n = 42), devant les élevages </w:t>
      </w:r>
      <w:r>
        <w:rPr>
          <w:b/>
          <w:bCs/>
        </w:rPr>
        <w:t>mixtes</w:t>
      </w:r>
      <w:r>
        <w:t xml:space="preserve"> (24,4 %, n = 45) et </w:t>
      </w:r>
      <w:r>
        <w:rPr>
          <w:b/>
          <w:bCs/>
        </w:rPr>
        <w:t>laitiers</w:t>
      </w:r>
      <w:r>
        <w:t xml:space="preserve"> (22,1 %, n = 190) (χ² = 7,81 ; p = 0,020).</w:t>
      </w:r>
    </w:p>
    <w:p w14:paraId="5B594FD3" w14:textId="77777777" w:rsidR="00B524AE" w:rsidRDefault="00B524AE" w:rsidP="00B524AE">
      <w:pPr>
        <w:spacing w:after="120" w:line="320" w:lineRule="auto"/>
        <w:jc w:val="both"/>
        <w:rPr>
          <w:b/>
          <w:bCs/>
        </w:rPr>
      </w:pPr>
      <w:r>
        <w:rPr>
          <w:b/>
          <w:bCs/>
        </w:rPr>
        <w:t>Traitement acaricide :</w:t>
      </w:r>
    </w:p>
    <w:p w14:paraId="494AD864" w14:textId="2DE59386" w:rsidR="00B524AE" w:rsidRDefault="00B524AE" w:rsidP="00B524AE">
      <w:pPr>
        <w:spacing w:after="120" w:line="320" w:lineRule="auto"/>
        <w:jc w:val="both"/>
      </w:pPr>
      <w:r>
        <w:rPr>
          <w:b/>
          <w:bCs/>
        </w:rPr>
        <w:t xml:space="preserve"> </w:t>
      </w:r>
      <w:r>
        <w:t xml:space="preserve">L'absence totale de traitement externe sur les animaux est associée à la </w:t>
      </w:r>
      <w:r>
        <w:rPr>
          <w:b/>
          <w:bCs/>
        </w:rPr>
        <w:t>plus forte prévalence</w:t>
      </w:r>
      <w:r>
        <w:t xml:space="preserve"> (38,5 %, n = 65) comparée aux élevages appliquant un traitement indiqué contre les tiques (20,7 %, n = 87) ou un autre antiparasitaire à effet indirect (22,4 %, n = 125). La comparaison « absence de traitement vs présence d'un traitement » est </w:t>
      </w:r>
      <w:r>
        <w:rPr>
          <w:b/>
          <w:bCs/>
        </w:rPr>
        <w:t>hautement significative</w:t>
      </w:r>
      <w:r>
        <w:t xml:space="preserve"> (OR = 2,26 ; p = 0,009), confirmant un effet protecteur des stratégies acaricides ou antiparasitaires — même lorsque celles-ci ne ciblent pas spécifiquement les tiques.</w:t>
      </w:r>
    </w:p>
    <w:p w14:paraId="0A00C461" w14:textId="77777777" w:rsidR="00B524AE" w:rsidRDefault="00B524AE" w:rsidP="00B524AE">
      <w:pPr>
        <w:spacing w:after="120" w:line="320" w:lineRule="auto"/>
        <w:jc w:val="both"/>
        <w:rPr>
          <w:b/>
          <w:bCs/>
        </w:rPr>
      </w:pPr>
      <w:r>
        <w:rPr>
          <w:b/>
          <w:bCs/>
        </w:rPr>
        <w:t>Amendement des parcelles :</w:t>
      </w:r>
    </w:p>
    <w:p w14:paraId="575C434D" w14:textId="5A7A811F" w:rsidR="00B524AE" w:rsidRDefault="00B524AE" w:rsidP="00B524AE">
      <w:pPr>
        <w:spacing w:after="120" w:line="320" w:lineRule="auto"/>
        <w:jc w:val="both"/>
      </w:pPr>
      <w:r>
        <w:rPr>
          <w:b/>
          <w:bCs/>
        </w:rPr>
        <w:t>L</w:t>
      </w:r>
      <w:r>
        <w:t xml:space="preserve">es élevages pratiquant un </w:t>
      </w:r>
      <w:r>
        <w:rPr>
          <w:b/>
          <w:bCs/>
        </w:rPr>
        <w:t>amendement minéral ou calcique</w:t>
      </w:r>
      <w:r>
        <w:t xml:space="preserve"> (chaux, engrais NPK) affichent une prévalence significativement </w:t>
      </w:r>
      <w:r>
        <w:rPr>
          <w:b/>
          <w:bCs/>
        </w:rPr>
        <w:t>plus faible</w:t>
      </w:r>
      <w:r>
        <w:t xml:space="preserve"> (16,0 %, n = 75) que les autres élevages — absence d'amendement ou amendement organique (29,2 %, n = 202) — avec OR = 0,46 ; p = 0,030. Cette observation, bien qu'exploratoire, suggère une piste agronomique d'intérêt : l'alcalinisation du sol pourrait défavoriser l'écosystème tique. Elle mérite d'être confirmée par des études dédiées.</w:t>
      </w:r>
    </w:p>
    <w:p w14:paraId="6FACD393" w14:textId="77777777" w:rsidR="00B524AE" w:rsidRDefault="00B524AE" w:rsidP="00B524AE">
      <w:pPr>
        <w:spacing w:after="120" w:line="320" w:lineRule="auto"/>
        <w:jc w:val="both"/>
        <w:rPr>
          <w:b/>
          <w:bCs/>
        </w:rPr>
      </w:pPr>
      <w:r>
        <w:rPr>
          <w:b/>
          <w:bCs/>
        </w:rPr>
        <w:t xml:space="preserve">Signes cliniques et positivité : </w:t>
      </w:r>
    </w:p>
    <w:p w14:paraId="098ECC0D" w14:textId="2B301BF2" w:rsidR="00B524AE" w:rsidRDefault="00B524AE" w:rsidP="00B524AE">
      <w:pPr>
        <w:spacing w:after="120" w:line="320" w:lineRule="auto"/>
        <w:jc w:val="both"/>
      </w:pPr>
      <w:r>
        <w:t xml:space="preserve">De manière </w:t>
      </w:r>
      <w:r>
        <w:rPr>
          <w:b/>
          <w:bCs/>
        </w:rPr>
        <w:t>contre-intuitive</w:t>
      </w:r>
      <w:r>
        <w:t xml:space="preserve">, les élevages rapportant des signes cliniques évocateurs (hyperthermie, chute de production, avortements répétés) présentent une prévalence sérologique </w:t>
      </w:r>
      <w:r>
        <w:rPr>
          <w:b/>
          <w:bCs/>
        </w:rPr>
        <w:t>plus faible</w:t>
      </w:r>
      <w:r>
        <w:t xml:space="preserve"> (21,1 %, n = 190) que les élevages sans signes cliniques déclarés (35,6 %, n = 87) — Fisher : OR = 0,48 ; p = 0,012. Ce paradoxe peut refléter (i) une </w:t>
      </w:r>
      <w:r>
        <w:rPr>
          <w:b/>
          <w:bCs/>
        </w:rPr>
        <w:t>immunité de troupeau acquise</w:t>
      </w:r>
      <w:r>
        <w:t xml:space="preserve"> après circulation ancienne de l'agent, les anticorps pouvant décroître dans le temps, ou </w:t>
      </w:r>
      <w:r>
        <w:lastRenderedPageBreak/>
        <w:t xml:space="preserve">(ii) une </w:t>
      </w:r>
      <w:r>
        <w:rPr>
          <w:b/>
          <w:bCs/>
        </w:rPr>
        <w:t>sous-déclaration clinique</w:t>
      </w:r>
      <w:r>
        <w:t xml:space="preserve"> dans les élevages les plus fortement atteints où les manifestations sont devenues chroniques et banalisées. Cette observation invite à ne pas s'en remettre aux seuls signes cliniques pour évaluer la pression vectorielle d'un troupeau.</w:t>
      </w:r>
    </w:p>
    <w:p w14:paraId="242F21C8" w14:textId="77777777" w:rsidR="00B524AE" w:rsidRDefault="00B524AE" w:rsidP="00B524AE">
      <w:pPr>
        <w:spacing w:after="120" w:line="320" w:lineRule="auto"/>
        <w:jc w:val="both"/>
        <w:rPr>
          <w:b/>
          <w:bCs/>
        </w:rPr>
      </w:pPr>
      <w:r>
        <w:rPr>
          <w:b/>
          <w:bCs/>
        </w:rPr>
        <w:t xml:space="preserve">Comparaison cas/voisins : </w:t>
      </w:r>
    </w:p>
    <w:p w14:paraId="4636B17D" w14:textId="626051CD" w:rsidR="00B524AE" w:rsidRDefault="00B524AE" w:rsidP="00B524AE">
      <w:pPr>
        <w:spacing w:after="120" w:line="320" w:lineRule="auto"/>
        <w:jc w:val="both"/>
      </w:pPr>
      <w:r>
        <w:t xml:space="preserve">L'écart entre élevages « cas » (antécédent d'avortement à ehrlichiose, prévalence 29,6 %) et élevages « voisins » (21,8 %) n'est </w:t>
      </w:r>
      <w:r>
        <w:rPr>
          <w:b/>
          <w:bCs/>
        </w:rPr>
        <w:t>pas statistiquement significatif</w:t>
      </w:r>
      <w:r>
        <w:t xml:space="preserve"> (p = 0,17). Cette absence de différence constitue un résultat important : elle indique que la circulation d'</w:t>
      </w:r>
      <w:r>
        <w:rPr>
          <w:i/>
          <w:iCs/>
        </w:rPr>
        <w:t xml:space="preserve">A. </w:t>
      </w:r>
      <w:proofErr w:type="spellStart"/>
      <w:r>
        <w:rPr>
          <w:i/>
          <w:iCs/>
        </w:rPr>
        <w:t>phagocytophilum</w:t>
      </w:r>
      <w:proofErr w:type="spellEnd"/>
      <w:r>
        <w:t xml:space="preserve"> dépasse le cadre des élevages initialement identifiés et concerne l'ensemble du tissu d'élevage bovin départemental, y compris les exploitations sans historique connu.</w:t>
      </w:r>
    </w:p>
    <w:p w14:paraId="10C1C0BE" w14:textId="77777777" w:rsidR="00B524AE" w:rsidRDefault="00B524AE" w:rsidP="00B524AE">
      <w:pPr>
        <w:spacing w:after="120" w:line="320" w:lineRule="auto"/>
        <w:jc w:val="both"/>
        <w:rPr>
          <w:b/>
          <w:bCs/>
        </w:rPr>
      </w:pPr>
      <w:r>
        <w:rPr>
          <w:b/>
          <w:bCs/>
        </w:rPr>
        <w:t>Autres facteurs :</w:t>
      </w:r>
    </w:p>
    <w:p w14:paraId="03505380" w14:textId="0B04C7EF" w:rsidR="007D514F" w:rsidRDefault="00B524AE" w:rsidP="007D514F">
      <w:pPr>
        <w:spacing w:after="120" w:line="320" w:lineRule="auto"/>
        <w:jc w:val="both"/>
      </w:pPr>
      <w:r>
        <w:t>La fréquence d'observation de la faune sauvage (cervidés, sangliers) déclarée par l'éleveur n'a pas montré d'association significative avec la densité de tiques collectées (</w:t>
      </w:r>
      <w:proofErr w:type="spellStart"/>
      <w:r>
        <w:t>Kruskal</w:t>
      </w:r>
      <w:proofErr w:type="spellEnd"/>
      <w:r>
        <w:t xml:space="preserve">-Wallis H = 2,72 ; p = 0,44). La corrélation entre nombre de tiques à la parcelle et prévalence sérologique au sein de l'élevage n'atteint qu'une </w:t>
      </w:r>
      <w:r>
        <w:rPr>
          <w:b/>
          <w:bCs/>
        </w:rPr>
        <w:t>tendance</w:t>
      </w:r>
      <w:r>
        <w:t xml:space="preserve"> (Spearman ρ = 0,32 ; p = 0,09), compatible avec un lien partiel mais non linéaire entre pression vectorielle observée à un instant </w:t>
      </w:r>
      <w:r>
        <w:rPr>
          <w:i/>
          <w:iCs/>
        </w:rPr>
        <w:t>t</w:t>
      </w:r>
      <w:r>
        <w:t xml:space="preserve"> et exposition cumulée du troupeau.</w:t>
      </w:r>
    </w:p>
    <w:p w14:paraId="3B9FFC2A" w14:textId="0961DEEC" w:rsidR="007D514F" w:rsidRDefault="007D514F" w:rsidP="007D514F">
      <w:pPr>
        <w:spacing w:before="200" w:after="100"/>
      </w:pPr>
      <w:r>
        <w:rPr>
          <w:b/>
          <w:bCs/>
          <w:sz w:val="23"/>
          <w:szCs w:val="23"/>
        </w:rPr>
        <w:t>3.6 Connaissance et exposition humaine aux MVT</w:t>
      </w:r>
      <w:r w:rsidR="008B4415">
        <w:rPr>
          <w:b/>
          <w:bCs/>
          <w:sz w:val="23"/>
          <w:szCs w:val="23"/>
        </w:rPr>
        <w:t xml:space="preserve"> dans la profession agricole</w:t>
      </w:r>
    </w:p>
    <w:p w14:paraId="0399A69D" w14:textId="77777777" w:rsidR="007D514F" w:rsidRDefault="007D514F" w:rsidP="007D514F">
      <w:pPr>
        <w:spacing w:after="120" w:line="320" w:lineRule="auto"/>
        <w:jc w:val="both"/>
      </w:pPr>
      <w:r>
        <w:t>L'enquête réalisée auprès des éleveurs met en évidence plusieurs constats :</w:t>
      </w:r>
    </w:p>
    <w:p w14:paraId="389986DD" w14:textId="4BDB1B38" w:rsidR="007D514F" w:rsidRPr="001D3D5D" w:rsidRDefault="007D514F" w:rsidP="007B5549">
      <w:pPr>
        <w:spacing w:after="60"/>
        <w:ind w:left="360"/>
        <w:jc w:val="both"/>
      </w:pPr>
      <w:r w:rsidRPr="001D3D5D">
        <w:t>• 100 % des</w:t>
      </w:r>
      <w:r w:rsidR="007B5549">
        <w:t xml:space="preserve"> éleveurs</w:t>
      </w:r>
      <w:r w:rsidRPr="001D3D5D">
        <w:t xml:space="preserve"> enquêtés connaissent la maladie de Lyme</w:t>
      </w:r>
      <w:r w:rsidR="007B5549">
        <w:t xml:space="preserve"> (Borréliose de Lyme)</w:t>
      </w:r>
      <w:r w:rsidRPr="001D3D5D">
        <w:t>, mais seulement 34 % ont entendu parler de l'ehrlichiose ;</w:t>
      </w:r>
    </w:p>
    <w:p w14:paraId="74D79E1B" w14:textId="0AB797B8" w:rsidR="007D514F" w:rsidRPr="001D3D5D" w:rsidRDefault="007D514F" w:rsidP="007B5549">
      <w:pPr>
        <w:spacing w:after="60"/>
        <w:ind w:left="360"/>
        <w:jc w:val="both"/>
      </w:pPr>
      <w:r w:rsidRPr="001D3D5D">
        <w:t xml:space="preserve">• 55 % déclarent avoir été touchés par la maladie de Lyme </w:t>
      </w:r>
      <w:r w:rsidRPr="001D3D5D">
        <w:rPr>
          <w:i/>
          <w:iCs/>
        </w:rPr>
        <w:t xml:space="preserve">(personnellement ou dans leur </w:t>
      </w:r>
      <w:r w:rsidR="007B5549">
        <w:rPr>
          <w:i/>
          <w:iCs/>
        </w:rPr>
        <w:t>« </w:t>
      </w:r>
      <w:r w:rsidRPr="001D3D5D">
        <w:rPr>
          <w:i/>
          <w:iCs/>
        </w:rPr>
        <w:t>entourage</w:t>
      </w:r>
      <w:r w:rsidR="007B5549">
        <w:rPr>
          <w:i/>
          <w:iCs/>
        </w:rPr>
        <w:t xml:space="preserve"> familial</w:t>
      </w:r>
      <w:r w:rsidRPr="001D3D5D">
        <w:rPr>
          <w:i/>
          <w:iCs/>
        </w:rPr>
        <w:t xml:space="preserve"> proche</w:t>
      </w:r>
      <w:r w:rsidR="007B5549">
        <w:rPr>
          <w:i/>
          <w:iCs/>
        </w:rPr>
        <w:t> »</w:t>
      </w:r>
      <w:r w:rsidRPr="001D3D5D">
        <w:rPr>
          <w:i/>
          <w:iCs/>
        </w:rPr>
        <w:t>)</w:t>
      </w:r>
      <w:r w:rsidRPr="001D3D5D">
        <w:t xml:space="preserve"> ;</w:t>
      </w:r>
    </w:p>
    <w:p w14:paraId="0ED95923" w14:textId="77777777" w:rsidR="007D514F" w:rsidRPr="001D3D5D" w:rsidRDefault="007D514F" w:rsidP="007B5549">
      <w:pPr>
        <w:spacing w:after="60"/>
        <w:ind w:left="360"/>
        <w:jc w:val="both"/>
      </w:pPr>
      <w:r w:rsidRPr="001D3D5D">
        <w:t>• 97 % déclarent avoir déjà été piqués par des tiques, dont 76 % en pâture ;</w:t>
      </w:r>
    </w:p>
    <w:p w14:paraId="433D59C6" w14:textId="6D6F5A1A" w:rsidR="007D514F" w:rsidRPr="001D3D5D" w:rsidRDefault="007D514F" w:rsidP="007B5549">
      <w:pPr>
        <w:spacing w:after="60"/>
        <w:ind w:left="360"/>
        <w:jc w:val="both"/>
      </w:pPr>
      <w:r w:rsidRPr="001D3D5D">
        <w:t>• 62 % se font piquer plusieurs fois</w:t>
      </w:r>
      <w:r w:rsidR="007B5549">
        <w:t xml:space="preserve"> (2 ou plus)</w:t>
      </w:r>
      <w:r w:rsidRPr="001D3D5D">
        <w:t xml:space="preserve"> par an ;</w:t>
      </w:r>
    </w:p>
    <w:p w14:paraId="23A9D467" w14:textId="7D50AA68" w:rsidR="007D514F" w:rsidRPr="001D3D5D" w:rsidRDefault="007D514F" w:rsidP="007B5549">
      <w:pPr>
        <w:spacing w:after="60"/>
        <w:ind w:left="360"/>
        <w:jc w:val="both"/>
      </w:pPr>
      <w:r w:rsidRPr="001D3D5D">
        <w:t xml:space="preserve">• 31 % rapportent des symptômes </w:t>
      </w:r>
      <w:r w:rsidR="00C773C8" w:rsidRPr="001D3D5D">
        <w:t>à la suite d’une</w:t>
      </w:r>
      <w:r w:rsidRPr="001D3D5D">
        <w:t xml:space="preserve"> piqûre ;</w:t>
      </w:r>
    </w:p>
    <w:p w14:paraId="4546343B" w14:textId="77777777" w:rsidR="007D514F" w:rsidRPr="001D3D5D" w:rsidRDefault="007D514F" w:rsidP="007B5549">
      <w:pPr>
        <w:spacing w:after="60"/>
        <w:ind w:left="360"/>
        <w:jc w:val="both"/>
      </w:pPr>
      <w:r w:rsidRPr="001D3D5D">
        <w:t>• 72 % se déclarent inquiets des conséquences des MVT pour leur santé et celle de leurs animaux ;</w:t>
      </w:r>
    </w:p>
    <w:p w14:paraId="65A97E6B" w14:textId="3263C782" w:rsidR="00B524AE" w:rsidRDefault="007D514F" w:rsidP="00B524AE">
      <w:pPr>
        <w:spacing w:after="60"/>
        <w:ind w:left="360"/>
        <w:jc w:val="both"/>
      </w:pPr>
      <w:r w:rsidRPr="001D3D5D">
        <w:t>• 72 % souhaitent accéder aux résultats PCR des tiques collectées sur leur exploitation.</w:t>
      </w:r>
    </w:p>
    <w:p w14:paraId="727862D5" w14:textId="77777777" w:rsidR="00B524AE" w:rsidRDefault="00B524AE" w:rsidP="00B524AE">
      <w:pPr>
        <w:spacing w:after="60"/>
        <w:jc w:val="both"/>
      </w:pPr>
    </w:p>
    <w:p w14:paraId="5A151600" w14:textId="77777777" w:rsidR="005F5956" w:rsidRDefault="005F5956" w:rsidP="005F5956">
      <w:pPr>
        <w:spacing w:after="60"/>
        <w:jc w:val="both"/>
        <w:rPr>
          <w:b/>
          <w:bCs/>
          <w:sz w:val="26"/>
          <w:szCs w:val="26"/>
        </w:rPr>
      </w:pPr>
      <w:r w:rsidRPr="005F5956">
        <w:rPr>
          <w:b/>
          <w:bCs/>
          <w:sz w:val="26"/>
          <w:szCs w:val="26"/>
        </w:rPr>
        <w:t>4. Discussion</w:t>
      </w:r>
    </w:p>
    <w:p w14:paraId="648B317F" w14:textId="77777777" w:rsidR="005F5956" w:rsidRPr="005F5956" w:rsidRDefault="005F5956" w:rsidP="005F5956">
      <w:pPr>
        <w:spacing w:after="60"/>
        <w:jc w:val="both"/>
        <w:rPr>
          <w:b/>
          <w:bCs/>
          <w:sz w:val="26"/>
          <w:szCs w:val="26"/>
        </w:rPr>
      </w:pPr>
    </w:p>
    <w:p w14:paraId="75F9EF24" w14:textId="77777777" w:rsidR="005F5956" w:rsidRPr="005F5956" w:rsidRDefault="005F5956" w:rsidP="005F5956">
      <w:pPr>
        <w:spacing w:after="60"/>
        <w:jc w:val="both"/>
        <w:rPr>
          <w:b/>
          <w:bCs/>
          <w:sz w:val="23"/>
          <w:szCs w:val="23"/>
        </w:rPr>
      </w:pPr>
      <w:r w:rsidRPr="005F5956">
        <w:rPr>
          <w:b/>
          <w:bCs/>
          <w:sz w:val="23"/>
          <w:szCs w:val="23"/>
        </w:rPr>
        <w:t>4.1 Une pression vectorielle élevée, mais sous-estimée</w:t>
      </w:r>
    </w:p>
    <w:p w14:paraId="10581C8F" w14:textId="00933C33" w:rsidR="005F5956" w:rsidRDefault="005F5956" w:rsidP="005F5956">
      <w:pPr>
        <w:spacing w:after="60"/>
        <w:jc w:val="both"/>
      </w:pPr>
      <w:r w:rsidRPr="005F5956">
        <w:t xml:space="preserve">La densité moyenne de 940 tiques/ha mesurée dans les pâtures vosgiennes, avec un pic à 1 500 tiques/ha, se situe dans la fourchette haute des données disponibles pour le Grand Est (Boyard </w:t>
      </w:r>
      <w:r w:rsidRPr="005F5956">
        <w:rPr>
          <w:i/>
          <w:iCs/>
        </w:rPr>
        <w:t>et al.</w:t>
      </w:r>
      <w:r w:rsidRPr="005F5956">
        <w:t xml:space="preserve">, 2008 ; </w:t>
      </w:r>
      <w:proofErr w:type="spellStart"/>
      <w:r w:rsidRPr="005F5956">
        <w:t>Agoulon</w:t>
      </w:r>
      <w:proofErr w:type="spellEnd"/>
      <w:r w:rsidRPr="005F5956">
        <w:t xml:space="preserve"> </w:t>
      </w:r>
      <w:r w:rsidRPr="005F5956">
        <w:rPr>
          <w:i/>
          <w:iCs/>
        </w:rPr>
        <w:t>et al.</w:t>
      </w:r>
      <w:r w:rsidRPr="005F5956">
        <w:t xml:space="preserve">, 2012). Cette valeur est à considérer comme une </w:t>
      </w:r>
      <w:r w:rsidRPr="005F5956">
        <w:rPr>
          <w:b/>
          <w:bCs/>
        </w:rPr>
        <w:t>estimation minimale</w:t>
      </w:r>
      <w:r w:rsidRPr="005F5956">
        <w:t xml:space="preserve">, la méthode du drapeau ne détectant que les tiques à l'affût sur la végétation et ne capturant ni les tiques déjà gorgées, ni celles situées </w:t>
      </w:r>
      <w:r w:rsidR="00091585">
        <w:t>au sol</w:t>
      </w:r>
      <w:r w:rsidRPr="005F5956">
        <w:t xml:space="preserve"> ou dans les terriers d'hôtes (Vassallo </w:t>
      </w:r>
      <w:r w:rsidRPr="005F5956">
        <w:rPr>
          <w:i/>
          <w:iCs/>
        </w:rPr>
        <w:t>et al.</w:t>
      </w:r>
      <w:r w:rsidRPr="005F5956">
        <w:t>, 2000).</w:t>
      </w:r>
    </w:p>
    <w:p w14:paraId="40E6F369" w14:textId="77777777" w:rsidR="00091585" w:rsidRPr="005F5956" w:rsidRDefault="00091585" w:rsidP="005F5956">
      <w:pPr>
        <w:spacing w:after="60"/>
        <w:jc w:val="both"/>
      </w:pPr>
    </w:p>
    <w:p w14:paraId="60309A00" w14:textId="77777777" w:rsidR="00091585" w:rsidRDefault="005F5956" w:rsidP="005F5956">
      <w:pPr>
        <w:spacing w:after="60"/>
        <w:jc w:val="both"/>
      </w:pPr>
      <w:r w:rsidRPr="005F5956">
        <w:t>La dominance d'</w:t>
      </w:r>
      <w:r w:rsidRPr="005F5956">
        <w:rPr>
          <w:i/>
          <w:iCs/>
        </w:rPr>
        <w:t xml:space="preserve">Ixodes </w:t>
      </w:r>
      <w:proofErr w:type="spellStart"/>
      <w:r w:rsidRPr="005F5956">
        <w:rPr>
          <w:i/>
          <w:iCs/>
        </w:rPr>
        <w:t>ricinus</w:t>
      </w:r>
      <w:proofErr w:type="spellEnd"/>
      <w:r w:rsidRPr="005F5956">
        <w:t xml:space="preserve"> (91 %) et la faible proportion de </w:t>
      </w:r>
      <w:proofErr w:type="spellStart"/>
      <w:r w:rsidRPr="005F5956">
        <w:rPr>
          <w:i/>
          <w:iCs/>
        </w:rPr>
        <w:t>Dermacentor</w:t>
      </w:r>
      <w:proofErr w:type="spellEnd"/>
      <w:r w:rsidRPr="005F5956">
        <w:rPr>
          <w:i/>
          <w:iCs/>
        </w:rPr>
        <w:t xml:space="preserve"> </w:t>
      </w:r>
      <w:proofErr w:type="spellStart"/>
      <w:r w:rsidRPr="005F5956">
        <w:rPr>
          <w:i/>
          <w:iCs/>
        </w:rPr>
        <w:t>reticulatus</w:t>
      </w:r>
      <w:proofErr w:type="spellEnd"/>
      <w:r w:rsidRPr="005F5956">
        <w:t xml:space="preserve"> (9 %) sont cohérentes avec la répartition attendue dans cette zone biogéographique tempérée humide. </w:t>
      </w:r>
    </w:p>
    <w:p w14:paraId="2A061DE9" w14:textId="77777777" w:rsidR="00091585" w:rsidRDefault="00091585" w:rsidP="005F5956">
      <w:pPr>
        <w:spacing w:after="60"/>
        <w:jc w:val="both"/>
      </w:pPr>
    </w:p>
    <w:p w14:paraId="1F4C63C2" w14:textId="4390EDF8" w:rsidR="005F5956" w:rsidRDefault="005F5956" w:rsidP="005F5956">
      <w:pPr>
        <w:spacing w:after="60"/>
        <w:jc w:val="both"/>
      </w:pPr>
      <w:r w:rsidRPr="005F5956">
        <w:lastRenderedPageBreak/>
        <w:t xml:space="preserve">La forte proportion de </w:t>
      </w:r>
      <w:r w:rsidRPr="005F5956">
        <w:rPr>
          <w:b/>
          <w:bCs/>
        </w:rPr>
        <w:t>nymphes</w:t>
      </w:r>
      <w:r w:rsidRPr="005F5956">
        <w:t xml:space="preserve"> (73 %) constitue un élément préoccupant sur le plan épidémiologique : ce stade de petite taille (1 à 2 mm) est responsable de la majorité des piqûres humaines et animales dans les foyers tempérés européens (Rizzoli </w:t>
      </w:r>
      <w:r w:rsidRPr="005F5956">
        <w:rPr>
          <w:i/>
          <w:iCs/>
        </w:rPr>
        <w:t>et al.</w:t>
      </w:r>
      <w:r w:rsidRPr="005F5956">
        <w:t>, 2014), et sa détection passe largement inaperçue sur les bovins comme chez l'</w:t>
      </w:r>
      <w:r>
        <w:t>H</w:t>
      </w:r>
      <w:r w:rsidRPr="005F5956">
        <w:t>omme.</w:t>
      </w:r>
    </w:p>
    <w:p w14:paraId="778EDCDD" w14:textId="77777777" w:rsidR="005F5956" w:rsidRPr="005F5956" w:rsidRDefault="005F5956" w:rsidP="005F5956">
      <w:pPr>
        <w:spacing w:after="60"/>
        <w:jc w:val="both"/>
      </w:pPr>
    </w:p>
    <w:p w14:paraId="509BB9BB" w14:textId="77777777" w:rsidR="005F5956" w:rsidRDefault="005F5956" w:rsidP="005F5956">
      <w:pPr>
        <w:spacing w:after="60"/>
        <w:jc w:val="both"/>
        <w:rPr>
          <w:b/>
          <w:bCs/>
          <w:i/>
          <w:iCs/>
          <w:sz w:val="23"/>
          <w:szCs w:val="23"/>
        </w:rPr>
      </w:pPr>
      <w:r w:rsidRPr="005F5956">
        <w:rPr>
          <w:b/>
          <w:bCs/>
          <w:sz w:val="23"/>
          <w:szCs w:val="23"/>
        </w:rPr>
        <w:t>4.2 Une circulation large et sous-diagnostiquée d'</w:t>
      </w:r>
      <w:proofErr w:type="spellStart"/>
      <w:r w:rsidRPr="005F5956">
        <w:rPr>
          <w:b/>
          <w:bCs/>
          <w:i/>
          <w:iCs/>
          <w:sz w:val="23"/>
          <w:szCs w:val="23"/>
        </w:rPr>
        <w:t>Anaplasma</w:t>
      </w:r>
      <w:proofErr w:type="spellEnd"/>
      <w:r w:rsidRPr="005F5956">
        <w:rPr>
          <w:b/>
          <w:bCs/>
          <w:i/>
          <w:iCs/>
          <w:sz w:val="23"/>
          <w:szCs w:val="23"/>
        </w:rPr>
        <w:t xml:space="preserve"> </w:t>
      </w:r>
      <w:proofErr w:type="spellStart"/>
      <w:r w:rsidRPr="005F5956">
        <w:rPr>
          <w:b/>
          <w:bCs/>
          <w:i/>
          <w:iCs/>
          <w:sz w:val="23"/>
          <w:szCs w:val="23"/>
        </w:rPr>
        <w:t>phagocytophilum</w:t>
      </w:r>
      <w:proofErr w:type="spellEnd"/>
    </w:p>
    <w:p w14:paraId="4A49E804" w14:textId="77777777" w:rsidR="005F5956" w:rsidRPr="005F5956" w:rsidRDefault="005F5956" w:rsidP="005F5956">
      <w:pPr>
        <w:spacing w:after="60"/>
        <w:jc w:val="both"/>
        <w:rPr>
          <w:b/>
          <w:bCs/>
          <w:sz w:val="23"/>
          <w:szCs w:val="23"/>
        </w:rPr>
      </w:pPr>
    </w:p>
    <w:p w14:paraId="013113E1" w14:textId="3DAA1603" w:rsidR="005F5956" w:rsidRDefault="005F5956" w:rsidP="005F5956">
      <w:pPr>
        <w:spacing w:after="60"/>
        <w:jc w:val="both"/>
      </w:pPr>
      <w:r w:rsidRPr="005F5956">
        <w:t xml:space="preserve">Le principal enseignement sanitaire de cette étude est la </w:t>
      </w:r>
      <w:r w:rsidRPr="005F5956">
        <w:rPr>
          <w:b/>
          <w:bCs/>
        </w:rPr>
        <w:t>très large circulation</w:t>
      </w:r>
      <w:r w:rsidRPr="005F5956">
        <w:t xml:space="preserve"> d'</w:t>
      </w:r>
      <w:r w:rsidRPr="005F5956">
        <w:rPr>
          <w:i/>
          <w:iCs/>
        </w:rPr>
        <w:t xml:space="preserve">A. </w:t>
      </w:r>
      <w:proofErr w:type="spellStart"/>
      <w:r w:rsidRPr="005F5956">
        <w:rPr>
          <w:i/>
          <w:iCs/>
        </w:rPr>
        <w:t>phagocytophilum</w:t>
      </w:r>
      <w:proofErr w:type="spellEnd"/>
      <w:r w:rsidRPr="005F5956">
        <w:t xml:space="preserve"> dans les cheptels bovins vosgiens. La prévalence sérologique individuelle de 25,6 % et, surtout, le fait que </w:t>
      </w:r>
      <w:r w:rsidRPr="005F5956">
        <w:rPr>
          <w:b/>
          <w:bCs/>
        </w:rPr>
        <w:t>76 % des élevages</w:t>
      </w:r>
      <w:r w:rsidRPr="005F5956">
        <w:t xml:space="preserve"> présentent au moins un bovin positif placent l'ehrlichiose </w:t>
      </w:r>
      <w:r w:rsidR="00091585">
        <w:t xml:space="preserve">bovine </w:t>
      </w:r>
      <w:r w:rsidRPr="005F5956">
        <w:t>en tête des agents vectoriels actifs dans les troupeaux étudiés. Ces valeurs sont cohérentes avec les données publiées en élevages européens : 10 à 30 % de séroprévalence en Suisse (</w:t>
      </w:r>
      <w:proofErr w:type="spellStart"/>
      <w:r w:rsidRPr="005F5956">
        <w:t>Pusterla</w:t>
      </w:r>
      <w:proofErr w:type="spellEnd"/>
      <w:r w:rsidRPr="005F5956">
        <w:t xml:space="preserve"> </w:t>
      </w:r>
      <w:r w:rsidRPr="005F5956">
        <w:rPr>
          <w:i/>
          <w:iCs/>
        </w:rPr>
        <w:t>et al.</w:t>
      </w:r>
      <w:r w:rsidRPr="005F5956">
        <w:t xml:space="preserve">, 1998), jusqu'à 40 % en Norvège (Stuen </w:t>
      </w:r>
      <w:r w:rsidRPr="005F5956">
        <w:rPr>
          <w:i/>
          <w:iCs/>
        </w:rPr>
        <w:t>et al.</w:t>
      </w:r>
      <w:r w:rsidRPr="005F5956">
        <w:t xml:space="preserve">, 2013), et des chiffres comparables dans d'autres zones de montagne françaises (Bauer </w:t>
      </w:r>
      <w:r w:rsidRPr="005F5956">
        <w:rPr>
          <w:i/>
          <w:iCs/>
        </w:rPr>
        <w:t>et al.</w:t>
      </w:r>
      <w:r w:rsidRPr="005F5956">
        <w:t>, 2021).</w:t>
      </w:r>
    </w:p>
    <w:p w14:paraId="69B8254A" w14:textId="77777777" w:rsidR="005F5956" w:rsidRPr="005F5956" w:rsidRDefault="005F5956" w:rsidP="005F5956">
      <w:pPr>
        <w:spacing w:after="60"/>
        <w:jc w:val="both"/>
      </w:pPr>
    </w:p>
    <w:p w14:paraId="52D44327" w14:textId="31085AF2" w:rsidR="005F5956" w:rsidRDefault="005F5956" w:rsidP="005F5956">
      <w:pPr>
        <w:spacing w:after="60"/>
        <w:jc w:val="both"/>
      </w:pPr>
      <w:r w:rsidRPr="005F5956">
        <w:t>L'absence de différence significative entre élevages « cas</w:t>
      </w:r>
      <w:r w:rsidR="00091585">
        <w:t>/connus positifs</w:t>
      </w:r>
      <w:r w:rsidRPr="005F5956">
        <w:t xml:space="preserve"> » </w:t>
      </w:r>
      <w:r w:rsidRPr="005F5956">
        <w:rPr>
          <w:i/>
          <w:iCs/>
        </w:rPr>
        <w:t>(antécédent d'ehrlichiose documenté</w:t>
      </w:r>
      <w:r w:rsidR="00091585">
        <w:rPr>
          <w:i/>
          <w:iCs/>
        </w:rPr>
        <w:t xml:space="preserve"> par des analyses antérieures</w:t>
      </w:r>
      <w:r w:rsidRPr="005F5956">
        <w:rPr>
          <w:i/>
          <w:iCs/>
        </w:rPr>
        <w:t>)</w:t>
      </w:r>
      <w:r w:rsidRPr="005F5956">
        <w:t xml:space="preserve"> et élevages « voisins » </w:t>
      </w:r>
      <w:r w:rsidRPr="005F5956">
        <w:rPr>
          <w:i/>
          <w:iCs/>
        </w:rPr>
        <w:t>(p = 0,17)</w:t>
      </w:r>
      <w:r w:rsidRPr="005F5956">
        <w:t xml:space="preserve"> est un </w:t>
      </w:r>
      <w:r w:rsidRPr="005F5956">
        <w:rPr>
          <w:b/>
          <w:bCs/>
        </w:rPr>
        <w:t>résultat fort</w:t>
      </w:r>
      <w:r w:rsidRPr="005F5956">
        <w:t xml:space="preserve"> : elle indique que la circulation d'</w:t>
      </w:r>
      <w:r w:rsidRPr="005F5956">
        <w:rPr>
          <w:i/>
          <w:iCs/>
        </w:rPr>
        <w:t xml:space="preserve">A. </w:t>
      </w:r>
      <w:proofErr w:type="spellStart"/>
      <w:r w:rsidRPr="005F5956">
        <w:rPr>
          <w:i/>
          <w:iCs/>
        </w:rPr>
        <w:t>phagocytophilum</w:t>
      </w:r>
      <w:proofErr w:type="spellEnd"/>
      <w:r w:rsidRPr="005F5956">
        <w:t xml:space="preserve"> n'est pas confinée aux exploitations ayant connu un épisode d'avortement, mais concerne l'ensemble du tissu d'élevage départemental. Ce constat plaide pour une </w:t>
      </w:r>
      <w:r w:rsidRPr="005F5956">
        <w:rPr>
          <w:b/>
          <w:bCs/>
        </w:rPr>
        <w:t>veille épidémiologique élargie</w:t>
      </w:r>
      <w:r w:rsidRPr="005F5956">
        <w:t xml:space="preserve"> et non seulement réactive sur signalement clinique.</w:t>
      </w:r>
    </w:p>
    <w:p w14:paraId="1104A083" w14:textId="77777777" w:rsidR="005F5956" w:rsidRPr="005F5956" w:rsidRDefault="005F5956" w:rsidP="005F5956">
      <w:pPr>
        <w:spacing w:after="60"/>
        <w:jc w:val="both"/>
      </w:pPr>
    </w:p>
    <w:p w14:paraId="342113A6" w14:textId="77777777" w:rsidR="005F5956" w:rsidRDefault="005F5956" w:rsidP="005F5956">
      <w:pPr>
        <w:spacing w:after="60"/>
        <w:jc w:val="both"/>
      </w:pPr>
      <w:r w:rsidRPr="005F5956">
        <w:t xml:space="preserve">La faible prévalence sérologique en borréliose (1,08 %) contraste fortement avec la forte détection de </w:t>
      </w:r>
      <w:r w:rsidRPr="005F5956">
        <w:rPr>
          <w:i/>
          <w:iCs/>
        </w:rPr>
        <w:t>Borrelia</w:t>
      </w:r>
      <w:r w:rsidRPr="005F5956">
        <w:t xml:space="preserve"> </w:t>
      </w:r>
      <w:proofErr w:type="spellStart"/>
      <w:r w:rsidRPr="005F5956">
        <w:t>spp</w:t>
      </w:r>
      <w:proofErr w:type="spellEnd"/>
      <w:r w:rsidRPr="005F5956">
        <w:t xml:space="preserve">. </w:t>
      </w:r>
      <w:proofErr w:type="gramStart"/>
      <w:r w:rsidRPr="005F5956">
        <w:t>dans</w:t>
      </w:r>
      <w:proofErr w:type="gramEnd"/>
      <w:r w:rsidRPr="005F5956">
        <w:t xml:space="preserve"> les tiques (59 % des pools). Cet écart illustre les </w:t>
      </w:r>
      <w:r w:rsidRPr="005F5956">
        <w:rPr>
          <w:b/>
          <w:bCs/>
        </w:rPr>
        <w:t>limites bien connues</w:t>
      </w:r>
      <w:r w:rsidRPr="005F5956">
        <w:t xml:space="preserve"> de la sérologie ELISA chez les ruminants : les anticorps décroissent rapidement après le contact infectant et la réponse immunitaire bovine reste transitoire (Krupka et Straubinger, 2010). La pression d'exposition réelle est donc très vraisemblablement très supérieure à ce que suggère la sérologie, comme le confirment les données issues des tiques.</w:t>
      </w:r>
    </w:p>
    <w:p w14:paraId="686787C5" w14:textId="77777777" w:rsidR="005F5956" w:rsidRPr="005F5956" w:rsidRDefault="005F5956" w:rsidP="005F5956">
      <w:pPr>
        <w:spacing w:after="60"/>
        <w:jc w:val="both"/>
      </w:pPr>
    </w:p>
    <w:p w14:paraId="73FB9C7F" w14:textId="73FA41EE" w:rsidR="005F5956" w:rsidRDefault="005F5956" w:rsidP="005F5956">
      <w:pPr>
        <w:spacing w:after="60"/>
        <w:jc w:val="both"/>
        <w:rPr>
          <w:b/>
          <w:bCs/>
          <w:sz w:val="23"/>
          <w:szCs w:val="23"/>
        </w:rPr>
      </w:pPr>
      <w:r w:rsidRPr="005F5956">
        <w:rPr>
          <w:b/>
          <w:bCs/>
          <w:sz w:val="23"/>
          <w:szCs w:val="23"/>
        </w:rPr>
        <w:t>4.3 Le paradoxe clinique : ne pas s'en remettre aux seuls signes</w:t>
      </w:r>
      <w:r w:rsidR="00091585">
        <w:rPr>
          <w:b/>
          <w:bCs/>
          <w:sz w:val="23"/>
          <w:szCs w:val="23"/>
        </w:rPr>
        <w:t xml:space="preserve"> observés par les éleveurs</w:t>
      </w:r>
    </w:p>
    <w:p w14:paraId="66DF0ECF" w14:textId="77777777" w:rsidR="005F5956" w:rsidRPr="005F5956" w:rsidRDefault="005F5956" w:rsidP="005F5956">
      <w:pPr>
        <w:spacing w:after="60"/>
        <w:jc w:val="both"/>
        <w:rPr>
          <w:b/>
          <w:bCs/>
          <w:sz w:val="23"/>
          <w:szCs w:val="23"/>
        </w:rPr>
      </w:pPr>
    </w:p>
    <w:p w14:paraId="16AFA222" w14:textId="56AA7EE3" w:rsidR="005F5956" w:rsidRDefault="005F5956" w:rsidP="005F5956">
      <w:pPr>
        <w:spacing w:after="60"/>
        <w:jc w:val="both"/>
      </w:pPr>
      <w:r w:rsidRPr="005F5956">
        <w:t xml:space="preserve">Le résultat le plus contre-intuitif de cette étude est l'association </w:t>
      </w:r>
      <w:r w:rsidRPr="005F5956">
        <w:rPr>
          <w:b/>
          <w:bCs/>
        </w:rPr>
        <w:t>inverse</w:t>
      </w:r>
      <w:r w:rsidRPr="005F5956">
        <w:t xml:space="preserve"> entre signes cliniques déclarés </w:t>
      </w:r>
      <w:r w:rsidR="00091585">
        <w:t xml:space="preserve">par les éleveurs </w:t>
      </w:r>
      <w:r w:rsidRPr="005F5956">
        <w:t xml:space="preserve">et prévalence sérologique </w:t>
      </w:r>
      <w:r w:rsidRPr="005F5956">
        <w:rPr>
          <w:i/>
          <w:iCs/>
        </w:rPr>
        <w:t>(35,6 % sans signes vs 21,1 % avec signes ; p = 0,012)</w:t>
      </w:r>
      <w:r w:rsidRPr="005F5956">
        <w:t>. Trois hypothèses non exclusives peuvent être formulées pour expliquer ce paradoxe :</w:t>
      </w:r>
    </w:p>
    <w:p w14:paraId="66811966" w14:textId="77777777" w:rsidR="005F5956" w:rsidRPr="005F5956" w:rsidRDefault="005F5956" w:rsidP="005F5956">
      <w:pPr>
        <w:spacing w:after="60"/>
        <w:jc w:val="both"/>
      </w:pPr>
    </w:p>
    <w:p w14:paraId="6AEBBEB4" w14:textId="2EBE235D" w:rsidR="005F5956" w:rsidRDefault="005F5956" w:rsidP="005F5956">
      <w:pPr>
        <w:pStyle w:val="Paragraphedeliste"/>
        <w:numPr>
          <w:ilvl w:val="0"/>
          <w:numId w:val="5"/>
        </w:numPr>
        <w:spacing w:after="60"/>
        <w:jc w:val="both"/>
      </w:pPr>
      <w:r w:rsidRPr="005F5956">
        <w:rPr>
          <w:b/>
          <w:bCs/>
        </w:rPr>
        <w:t>Immunité acquise de troupeau</w:t>
      </w:r>
      <w:r w:rsidRPr="005F5956">
        <w:t xml:space="preserve"> : les élevages à circulation ancienne de l'agent ont pu développer une immunité collective, rendant les signes cliniques</w:t>
      </w:r>
      <w:r w:rsidR="00091585">
        <w:t xml:space="preserve"> </w:t>
      </w:r>
      <w:r w:rsidRPr="005F5956">
        <w:t>plus rares</w:t>
      </w:r>
      <w:r w:rsidR="00091585">
        <w:t xml:space="preserve"> et/ou plus modérés</w:t>
      </w:r>
      <w:r w:rsidRPr="005F5956">
        <w:t xml:space="preserve"> tout en maintenant des anticorps détectables chez une fraction des animaux.</w:t>
      </w:r>
    </w:p>
    <w:p w14:paraId="7D499044" w14:textId="77777777" w:rsidR="005F5956" w:rsidRPr="005F5956" w:rsidRDefault="005F5956" w:rsidP="005F5956">
      <w:pPr>
        <w:pStyle w:val="Paragraphedeliste"/>
        <w:spacing w:after="60"/>
        <w:ind w:left="1080"/>
        <w:jc w:val="both"/>
      </w:pPr>
    </w:p>
    <w:p w14:paraId="70FFDCC0" w14:textId="5395FA3E" w:rsidR="005F5956" w:rsidRDefault="005F5956" w:rsidP="005F5956">
      <w:pPr>
        <w:pStyle w:val="Paragraphedeliste"/>
        <w:numPr>
          <w:ilvl w:val="0"/>
          <w:numId w:val="5"/>
        </w:numPr>
        <w:spacing w:after="60"/>
        <w:jc w:val="both"/>
      </w:pPr>
      <w:r w:rsidRPr="005F5956">
        <w:rPr>
          <w:b/>
          <w:bCs/>
        </w:rPr>
        <w:t>Banalisation clinique</w:t>
      </w:r>
      <w:r w:rsidRPr="005F5956">
        <w:t xml:space="preserve"> : dans les élevages chroniquement exposés, des symptômes discrets </w:t>
      </w:r>
      <w:r w:rsidRPr="005F5956">
        <w:rPr>
          <w:i/>
          <w:iCs/>
        </w:rPr>
        <w:t>(hyperthermies brèves, baisses de production transitoires)</w:t>
      </w:r>
      <w:r w:rsidRPr="005F5956">
        <w:t xml:space="preserve"> peuvent être perçus comme habituels et non signalés. Cette hypothèse rejoint les observations de Stuen </w:t>
      </w:r>
      <w:r w:rsidRPr="005F5956">
        <w:rPr>
          <w:i/>
          <w:iCs/>
        </w:rPr>
        <w:t>et al.</w:t>
      </w:r>
      <w:r w:rsidRPr="005F5956">
        <w:t xml:space="preserve"> (2013) qui décrivent la </w:t>
      </w:r>
      <w:proofErr w:type="spellStart"/>
      <w:r w:rsidRPr="005F5956">
        <w:rPr>
          <w:i/>
          <w:iCs/>
        </w:rPr>
        <w:t>tick</w:t>
      </w:r>
      <w:proofErr w:type="spellEnd"/>
      <w:r w:rsidRPr="005F5956">
        <w:rPr>
          <w:i/>
          <w:iCs/>
        </w:rPr>
        <w:t xml:space="preserve">-borne </w:t>
      </w:r>
      <w:proofErr w:type="spellStart"/>
      <w:r w:rsidRPr="005F5956">
        <w:rPr>
          <w:i/>
          <w:iCs/>
        </w:rPr>
        <w:t>fever</w:t>
      </w:r>
      <w:proofErr w:type="spellEnd"/>
      <w:r w:rsidRPr="005F5956">
        <w:t xml:space="preserve"> comme fréquemment « silencieuse » à l'échelle du troupeau.</w:t>
      </w:r>
    </w:p>
    <w:p w14:paraId="7C18843C" w14:textId="77777777" w:rsidR="005F5956" w:rsidRPr="005F5956" w:rsidRDefault="005F5956" w:rsidP="00091585">
      <w:pPr>
        <w:spacing w:after="60"/>
        <w:jc w:val="both"/>
      </w:pPr>
    </w:p>
    <w:p w14:paraId="22C4982E" w14:textId="5357FF46" w:rsidR="005F5956" w:rsidRDefault="005F5956" w:rsidP="005F5956">
      <w:pPr>
        <w:pStyle w:val="Paragraphedeliste"/>
        <w:numPr>
          <w:ilvl w:val="0"/>
          <w:numId w:val="5"/>
        </w:numPr>
        <w:spacing w:after="60"/>
        <w:jc w:val="both"/>
      </w:pPr>
      <w:r w:rsidRPr="005F5956">
        <w:rPr>
          <w:b/>
          <w:bCs/>
        </w:rPr>
        <w:lastRenderedPageBreak/>
        <w:t>Cinétique des anticorps</w:t>
      </w:r>
      <w:r w:rsidRPr="005F5956">
        <w:t xml:space="preserve"> : les anticorps anti-</w:t>
      </w:r>
      <w:proofErr w:type="spellStart"/>
      <w:r w:rsidRPr="005F5956">
        <w:rPr>
          <w:i/>
          <w:iCs/>
        </w:rPr>
        <w:t>Anaplasma</w:t>
      </w:r>
      <w:proofErr w:type="spellEnd"/>
      <w:r w:rsidRPr="005F5956">
        <w:t xml:space="preserve"> décroissent eux aussi dans le temps (</w:t>
      </w:r>
      <w:proofErr w:type="spellStart"/>
      <w:r w:rsidRPr="005F5956">
        <w:t>Woldehiwet</w:t>
      </w:r>
      <w:proofErr w:type="spellEnd"/>
      <w:r w:rsidRPr="005F5956">
        <w:t>, 2010), et la sérologie peut refléter des contacts anciens plutôt que des infections actives.</w:t>
      </w:r>
    </w:p>
    <w:p w14:paraId="7E2E5AA2" w14:textId="77777777" w:rsidR="005F5956" w:rsidRPr="005F5956" w:rsidRDefault="005F5956" w:rsidP="005F5956">
      <w:pPr>
        <w:pStyle w:val="Paragraphedeliste"/>
        <w:spacing w:after="60"/>
        <w:ind w:left="1080"/>
        <w:jc w:val="both"/>
      </w:pPr>
    </w:p>
    <w:p w14:paraId="6B0EDBE0" w14:textId="50FCC0B5" w:rsidR="005F5956" w:rsidRDefault="005F5956" w:rsidP="005F5956">
      <w:pPr>
        <w:spacing w:after="60"/>
        <w:jc w:val="both"/>
      </w:pPr>
      <w:r w:rsidRPr="005F5956">
        <w:rPr>
          <w:b/>
          <w:bCs/>
        </w:rPr>
        <w:t>Implication pratique forte</w:t>
      </w:r>
      <w:r w:rsidRPr="005F5956">
        <w:t xml:space="preserve"> : la clinique seule est un indicateur insuffisant pour évaluer la pression à tiques dans un troupeau. Un dépistage sérologique ciblé (6 à 10 animaux) est un outil bien plus sensible pour objectiver la circulation de</w:t>
      </w:r>
      <w:r w:rsidR="00480EBC">
        <w:t>s agents MVT.</w:t>
      </w:r>
    </w:p>
    <w:p w14:paraId="78CAFA73" w14:textId="77777777" w:rsidR="005F5956" w:rsidRPr="005F5956" w:rsidRDefault="005F5956" w:rsidP="005F5956">
      <w:pPr>
        <w:spacing w:after="60"/>
        <w:jc w:val="both"/>
      </w:pPr>
    </w:p>
    <w:p w14:paraId="3415FEF0" w14:textId="77777777" w:rsidR="005F5956" w:rsidRDefault="005F5956" w:rsidP="005F5956">
      <w:pPr>
        <w:spacing w:after="60"/>
        <w:jc w:val="both"/>
        <w:rPr>
          <w:b/>
          <w:bCs/>
          <w:sz w:val="23"/>
          <w:szCs w:val="23"/>
        </w:rPr>
      </w:pPr>
      <w:r w:rsidRPr="005F5956">
        <w:rPr>
          <w:b/>
          <w:bCs/>
          <w:sz w:val="23"/>
          <w:szCs w:val="23"/>
        </w:rPr>
        <w:t>4.4 Des leviers de prévention accessibles</w:t>
      </w:r>
    </w:p>
    <w:p w14:paraId="2AB1FE6B" w14:textId="77777777" w:rsidR="005F5956" w:rsidRPr="005F5956" w:rsidRDefault="005F5956" w:rsidP="005F5956">
      <w:pPr>
        <w:spacing w:after="60"/>
        <w:jc w:val="both"/>
        <w:rPr>
          <w:b/>
          <w:bCs/>
          <w:sz w:val="23"/>
          <w:szCs w:val="23"/>
        </w:rPr>
      </w:pPr>
    </w:p>
    <w:p w14:paraId="4AE1F9A7" w14:textId="77777777" w:rsidR="005F5956" w:rsidRDefault="005F5956" w:rsidP="005F5956">
      <w:pPr>
        <w:spacing w:after="60"/>
        <w:jc w:val="both"/>
      </w:pPr>
      <w:r w:rsidRPr="005F5956">
        <w:t>Deux facteurs modifiables ressortent de l'analyse :</w:t>
      </w:r>
    </w:p>
    <w:p w14:paraId="2990784E" w14:textId="77777777" w:rsidR="005F5956" w:rsidRPr="005F5956" w:rsidRDefault="005F5956" w:rsidP="005F5956">
      <w:pPr>
        <w:spacing w:after="60"/>
        <w:jc w:val="both"/>
      </w:pPr>
    </w:p>
    <w:p w14:paraId="1C3C184A" w14:textId="77777777" w:rsidR="005F5956" w:rsidRDefault="005F5956" w:rsidP="005F5956">
      <w:pPr>
        <w:spacing w:after="60"/>
        <w:jc w:val="both"/>
        <w:rPr>
          <w:b/>
          <w:bCs/>
        </w:rPr>
      </w:pPr>
      <w:r w:rsidRPr="005F5956">
        <w:rPr>
          <w:b/>
          <w:bCs/>
        </w:rPr>
        <w:t>Traitement acaricide</w:t>
      </w:r>
      <w:r>
        <w:rPr>
          <w:b/>
          <w:bCs/>
        </w:rPr>
        <w:t> :</w:t>
      </w:r>
    </w:p>
    <w:p w14:paraId="5A336BE9" w14:textId="7F39A04F" w:rsidR="005F5956" w:rsidRDefault="005F5956" w:rsidP="005F5956">
      <w:pPr>
        <w:spacing w:after="60"/>
        <w:jc w:val="both"/>
      </w:pPr>
      <w:r w:rsidRPr="005F5956">
        <w:t xml:space="preserve">L'absence totale de traitement externe est associée à un risque </w:t>
      </w:r>
      <w:r w:rsidRPr="005F5956">
        <w:rPr>
          <w:b/>
          <w:bCs/>
        </w:rPr>
        <w:t>doublé</w:t>
      </w:r>
      <w:r w:rsidRPr="005F5956">
        <w:t xml:space="preserve"> de positivité </w:t>
      </w:r>
      <w:r w:rsidRPr="005F5956">
        <w:rPr>
          <w:i/>
          <w:iCs/>
        </w:rPr>
        <w:t>(OR = 2,26 ; p = 0,009)</w:t>
      </w:r>
      <w:r w:rsidRPr="005F5956">
        <w:t xml:space="preserve">. Fait notable, l'effet protecteur n'est pas réservé aux acaricides ciblés tiques : les antiparasitaires à effet indirect </w:t>
      </w:r>
      <w:r w:rsidRPr="005F5956">
        <w:rPr>
          <w:i/>
          <w:iCs/>
        </w:rPr>
        <w:t>(deltaméthrine « mouches », phytothérapie)</w:t>
      </w:r>
      <w:r w:rsidRPr="005F5956">
        <w:t xml:space="preserve"> sont également associés à une moindre prévalence. Ce résultat invite à </w:t>
      </w:r>
      <w:r w:rsidRPr="005F5956">
        <w:rPr>
          <w:b/>
          <w:bCs/>
        </w:rPr>
        <w:t>réhabiliter le conseil antiparasitaire externe</w:t>
      </w:r>
      <w:r w:rsidRPr="005F5956">
        <w:t xml:space="preserve"> dans les zones à forte pression vectorielle, en le couplant à une évaluation du rapport bénéfice/risque </w:t>
      </w:r>
      <w:r w:rsidRPr="005F5956">
        <w:rPr>
          <w:i/>
          <w:iCs/>
        </w:rPr>
        <w:t>(résistances, résidus, coût</w:t>
      </w:r>
      <w:r w:rsidR="00480EBC">
        <w:rPr>
          <w:i/>
          <w:iCs/>
        </w:rPr>
        <w:t>, faisabilité</w:t>
      </w:r>
      <w:r w:rsidRPr="005F5956">
        <w:rPr>
          <w:i/>
          <w:iCs/>
        </w:rPr>
        <w:t>)</w:t>
      </w:r>
      <w:r w:rsidRPr="005F5956">
        <w:t>.</w:t>
      </w:r>
    </w:p>
    <w:p w14:paraId="6A1B4E8B" w14:textId="77777777" w:rsidR="005F5956" w:rsidRPr="005F5956" w:rsidRDefault="005F5956" w:rsidP="005F5956">
      <w:pPr>
        <w:spacing w:after="60"/>
        <w:jc w:val="both"/>
      </w:pPr>
    </w:p>
    <w:p w14:paraId="0A64A8A6" w14:textId="77777777" w:rsidR="005F5956" w:rsidRDefault="005F5956" w:rsidP="005F5956">
      <w:pPr>
        <w:spacing w:after="60"/>
        <w:jc w:val="both"/>
        <w:rPr>
          <w:b/>
          <w:bCs/>
        </w:rPr>
      </w:pPr>
      <w:r w:rsidRPr="005F5956">
        <w:rPr>
          <w:b/>
          <w:bCs/>
        </w:rPr>
        <w:t>Amendement agricole</w:t>
      </w:r>
      <w:r>
        <w:rPr>
          <w:b/>
          <w:bCs/>
        </w:rPr>
        <w:t> :</w:t>
      </w:r>
    </w:p>
    <w:p w14:paraId="01BFA73C" w14:textId="52A68C0B" w:rsidR="005F5956" w:rsidRDefault="005F5956" w:rsidP="005F5956">
      <w:pPr>
        <w:spacing w:after="60"/>
        <w:jc w:val="both"/>
      </w:pPr>
      <w:r w:rsidRPr="005F5956">
        <w:t xml:space="preserve">L'association significative entre amendement minéral/calcique et moindre prévalence </w:t>
      </w:r>
      <w:r w:rsidRPr="005F5956">
        <w:rPr>
          <w:i/>
          <w:iCs/>
        </w:rPr>
        <w:t>(16,0 % vs 29,2 %, OR = 0,46 ; p = 0,030)</w:t>
      </w:r>
      <w:r w:rsidRPr="005F5956">
        <w:t xml:space="preserve"> constitue le résultat le plus </w:t>
      </w:r>
      <w:r w:rsidRPr="005F5956">
        <w:rPr>
          <w:b/>
          <w:bCs/>
        </w:rPr>
        <w:t>original</w:t>
      </w:r>
      <w:r w:rsidRPr="005F5956">
        <w:t xml:space="preserve"> de cette étude. Le mécanisme hypothétique repose sur la sensibilité des œufs et des stades immatures de tiques aux conditions du sol : un pH élevé et </w:t>
      </w:r>
      <w:proofErr w:type="gramStart"/>
      <w:r w:rsidRPr="005F5956">
        <w:t>un dessèchement favorisés</w:t>
      </w:r>
      <w:proofErr w:type="gramEnd"/>
      <w:r w:rsidRPr="005F5956">
        <w:t xml:space="preserve"> par les amendements calciques seraient défavorables à leur survie (Gern </w:t>
      </w:r>
      <w:r w:rsidRPr="005F5956">
        <w:rPr>
          <w:i/>
          <w:iCs/>
        </w:rPr>
        <w:t>et al.</w:t>
      </w:r>
      <w:r w:rsidRPr="005F5956">
        <w:t xml:space="preserve">, 2008 ; Dumas </w:t>
      </w:r>
      <w:r w:rsidRPr="005F5956">
        <w:rPr>
          <w:i/>
          <w:iCs/>
        </w:rPr>
        <w:t>et al.</w:t>
      </w:r>
      <w:r w:rsidRPr="005F5956">
        <w:t xml:space="preserve">, 2022). Cette piste mérite confirmation par des études expérimentales dédiées, avec mesures pédologiques associées </w:t>
      </w:r>
      <w:r w:rsidRPr="005F5956">
        <w:rPr>
          <w:i/>
          <w:iCs/>
        </w:rPr>
        <w:t>(pH, humidité)</w:t>
      </w:r>
      <w:r w:rsidRPr="005F5956">
        <w:t xml:space="preserve">. Elle ouvre néanmoins une </w:t>
      </w:r>
      <w:r w:rsidRPr="005F5956">
        <w:rPr>
          <w:b/>
          <w:bCs/>
        </w:rPr>
        <w:t>perspective agronomique</w:t>
      </w:r>
      <w:r w:rsidRPr="005F5956">
        <w:t xml:space="preserve"> peu explorée en santé animale.</w:t>
      </w:r>
    </w:p>
    <w:p w14:paraId="681CA7DD" w14:textId="77777777" w:rsidR="005F5956" w:rsidRPr="005F5956" w:rsidRDefault="005F5956" w:rsidP="005F5956">
      <w:pPr>
        <w:spacing w:after="60"/>
        <w:jc w:val="both"/>
      </w:pPr>
    </w:p>
    <w:p w14:paraId="307F5741" w14:textId="77777777" w:rsidR="005F5956" w:rsidRPr="005F5956" w:rsidRDefault="005F5956" w:rsidP="005F5956">
      <w:pPr>
        <w:spacing w:after="60"/>
        <w:jc w:val="both"/>
        <w:rPr>
          <w:b/>
          <w:bCs/>
          <w:sz w:val="23"/>
          <w:szCs w:val="23"/>
        </w:rPr>
      </w:pPr>
      <w:r w:rsidRPr="005F5956">
        <w:rPr>
          <w:b/>
          <w:bCs/>
          <w:sz w:val="23"/>
          <w:szCs w:val="23"/>
        </w:rPr>
        <w:t>4.5 Limites et perspectives</w:t>
      </w:r>
    </w:p>
    <w:p w14:paraId="5016497D" w14:textId="77777777" w:rsidR="005F5956" w:rsidRPr="005F5956" w:rsidRDefault="005F5956" w:rsidP="005F5956">
      <w:pPr>
        <w:spacing w:after="60"/>
        <w:jc w:val="both"/>
        <w:rPr>
          <w:b/>
          <w:bCs/>
        </w:rPr>
      </w:pPr>
    </w:p>
    <w:p w14:paraId="204323C5" w14:textId="5585E14E" w:rsidR="005F5956" w:rsidRPr="005F5956" w:rsidRDefault="005F5956" w:rsidP="005F5956">
      <w:pPr>
        <w:spacing w:after="60"/>
        <w:jc w:val="both"/>
      </w:pPr>
      <w:r w:rsidRPr="005F5956">
        <w:t xml:space="preserve">L'étude présente plusieurs limites qui invitent à la prudence dans l'interprétation </w:t>
      </w:r>
      <w:r w:rsidR="00480EBC">
        <w:t xml:space="preserve">de ses résultats et apports </w:t>
      </w:r>
      <w:r w:rsidRPr="005F5956">
        <w:t>:</w:t>
      </w:r>
    </w:p>
    <w:p w14:paraId="4AC00E2A" w14:textId="77777777" w:rsidR="005F5956" w:rsidRPr="005F5956" w:rsidRDefault="005F5956" w:rsidP="005F5956">
      <w:pPr>
        <w:numPr>
          <w:ilvl w:val="0"/>
          <w:numId w:val="4"/>
        </w:numPr>
        <w:spacing w:after="60"/>
        <w:jc w:val="both"/>
      </w:pPr>
      <w:r w:rsidRPr="005F5956">
        <w:rPr>
          <w:b/>
          <w:bCs/>
        </w:rPr>
        <w:t>Taille d'échantillon</w:t>
      </w:r>
      <w:r w:rsidRPr="005F5956">
        <w:t xml:space="preserve"> limitée pour les croisements stratifiés </w:t>
      </w:r>
      <w:r w:rsidRPr="005F5956">
        <w:rPr>
          <w:i/>
          <w:iCs/>
        </w:rPr>
        <w:t>(certains sous-groupes ≤ 5 élevages)</w:t>
      </w:r>
      <w:r w:rsidRPr="005F5956">
        <w:t>, ce qui limite la puissance statistique pour détecter des effets modérés.</w:t>
      </w:r>
    </w:p>
    <w:p w14:paraId="44EC33AE" w14:textId="77777777" w:rsidR="005F5956" w:rsidRPr="005F5956" w:rsidRDefault="005F5956" w:rsidP="005F5956">
      <w:pPr>
        <w:numPr>
          <w:ilvl w:val="0"/>
          <w:numId w:val="4"/>
        </w:numPr>
        <w:spacing w:after="60"/>
        <w:jc w:val="both"/>
      </w:pPr>
      <w:r w:rsidRPr="005F5956">
        <w:rPr>
          <w:b/>
          <w:bCs/>
        </w:rPr>
        <w:t>Variabilité saisonnière</w:t>
      </w:r>
      <w:r w:rsidRPr="005F5956">
        <w:t xml:space="preserve"> : la collecte s'est concentrée sur avril-juillet 2025, période d'activité printanière de </w:t>
      </w:r>
      <w:r w:rsidRPr="005F5956">
        <w:rPr>
          <w:i/>
          <w:iCs/>
        </w:rPr>
        <w:t xml:space="preserve">I. </w:t>
      </w:r>
      <w:proofErr w:type="spellStart"/>
      <w:r w:rsidRPr="005F5956">
        <w:rPr>
          <w:i/>
          <w:iCs/>
        </w:rPr>
        <w:t>ricinus</w:t>
      </w:r>
      <w:proofErr w:type="spellEnd"/>
      <w:r w:rsidRPr="005F5956">
        <w:t>. Un suivi pluriannuel intégrant la dynamique automnale permettrait de consolider les estimations de pression.</w:t>
      </w:r>
    </w:p>
    <w:p w14:paraId="34876C8F" w14:textId="77777777" w:rsidR="005F5956" w:rsidRPr="005F5956" w:rsidRDefault="005F5956" w:rsidP="005F5956">
      <w:pPr>
        <w:numPr>
          <w:ilvl w:val="0"/>
          <w:numId w:val="4"/>
        </w:numPr>
        <w:spacing w:after="60"/>
        <w:jc w:val="both"/>
      </w:pPr>
      <w:r w:rsidRPr="005F5956">
        <w:rPr>
          <w:b/>
          <w:bCs/>
        </w:rPr>
        <w:t>Sérologie Borréliose</w:t>
      </w:r>
      <w:r w:rsidRPr="005F5956">
        <w:t xml:space="preserve"> : la faible sensibilité du marqueur ELISA chez les bovins appelle à compléter l'approche par des techniques moléculaires </w:t>
      </w:r>
      <w:r w:rsidRPr="005F5956">
        <w:rPr>
          <w:i/>
          <w:iCs/>
        </w:rPr>
        <w:t>(PCR sur sang)</w:t>
      </w:r>
      <w:r w:rsidRPr="005F5956">
        <w:t xml:space="preserve"> sur les animaux symptomatiques.</w:t>
      </w:r>
    </w:p>
    <w:p w14:paraId="4A5C7554" w14:textId="77777777" w:rsidR="005F5956" w:rsidRDefault="005F5956" w:rsidP="005F5956">
      <w:pPr>
        <w:numPr>
          <w:ilvl w:val="0"/>
          <w:numId w:val="4"/>
        </w:numPr>
        <w:spacing w:after="60"/>
        <w:jc w:val="both"/>
      </w:pPr>
      <w:r w:rsidRPr="005F5956">
        <w:rPr>
          <w:b/>
          <w:bCs/>
        </w:rPr>
        <w:t>Design cas-voisin</w:t>
      </w:r>
      <w:r w:rsidRPr="005F5956">
        <w:t xml:space="preserve"> : l'appariement géographique </w:t>
      </w:r>
      <w:r w:rsidRPr="005F5956">
        <w:rPr>
          <w:i/>
          <w:iCs/>
        </w:rPr>
        <w:t>(&lt; 5 km)</w:t>
      </w:r>
      <w:r w:rsidRPr="005F5956">
        <w:t xml:space="preserve"> peut introduire un biais d'exposition partagée, atténuant les différences observées entre groupes.</w:t>
      </w:r>
    </w:p>
    <w:p w14:paraId="08F0E999" w14:textId="77777777" w:rsidR="00CC732D" w:rsidRPr="005F5956" w:rsidRDefault="00CC732D" w:rsidP="00CC732D">
      <w:pPr>
        <w:spacing w:after="60"/>
        <w:ind w:left="720"/>
        <w:jc w:val="both"/>
      </w:pPr>
    </w:p>
    <w:p w14:paraId="580DE703" w14:textId="77777777" w:rsidR="005F5956" w:rsidRDefault="005F5956" w:rsidP="005F5956">
      <w:pPr>
        <w:spacing w:after="60"/>
        <w:jc w:val="both"/>
      </w:pPr>
      <w:r w:rsidRPr="005F5956">
        <w:t xml:space="preserve">Ces limites ouvrent sur plusieurs </w:t>
      </w:r>
      <w:r w:rsidRPr="005F5956">
        <w:rPr>
          <w:b/>
          <w:bCs/>
        </w:rPr>
        <w:t>perspectives</w:t>
      </w:r>
      <w:r w:rsidRPr="005F5956">
        <w:t xml:space="preserve"> : extension à d'autres filières </w:t>
      </w:r>
      <w:r w:rsidRPr="005F5956">
        <w:rPr>
          <w:i/>
          <w:iCs/>
        </w:rPr>
        <w:t>(ovins, caprins, équins)</w:t>
      </w:r>
      <w:r w:rsidRPr="005F5956">
        <w:t>, étude longitudinale 2026-2028 intégrant les variations climatiques, validation contrôlée de l'hypothèse amendement, et développement d'outils de diagnostic moléculaire bovin mobilisables en routine au LDVA88.</w:t>
      </w:r>
    </w:p>
    <w:p w14:paraId="77F5EBEC" w14:textId="77777777" w:rsidR="00CC732D" w:rsidRPr="005F5956" w:rsidRDefault="00CC732D" w:rsidP="005F5956">
      <w:pPr>
        <w:spacing w:after="60"/>
        <w:jc w:val="both"/>
      </w:pPr>
    </w:p>
    <w:p w14:paraId="28645394" w14:textId="0F73810D" w:rsidR="005F5956" w:rsidRPr="00CC732D" w:rsidRDefault="005F5956" w:rsidP="005F5956">
      <w:pPr>
        <w:spacing w:after="60"/>
        <w:jc w:val="both"/>
        <w:rPr>
          <w:b/>
          <w:bCs/>
          <w:sz w:val="23"/>
          <w:szCs w:val="23"/>
        </w:rPr>
      </w:pPr>
      <w:r w:rsidRPr="00CC732D">
        <w:rPr>
          <w:b/>
          <w:bCs/>
          <w:sz w:val="23"/>
          <w:szCs w:val="23"/>
        </w:rPr>
        <w:t>4.6 Implications pour la pratique vétérinaire</w:t>
      </w:r>
      <w:r w:rsidR="00E2726E">
        <w:rPr>
          <w:b/>
          <w:bCs/>
          <w:sz w:val="23"/>
          <w:szCs w:val="23"/>
        </w:rPr>
        <w:t xml:space="preserve"> et pistes de diagnostic</w:t>
      </w:r>
    </w:p>
    <w:p w14:paraId="3AFA4DF8" w14:textId="77777777" w:rsidR="00CC732D" w:rsidRPr="005F5956" w:rsidRDefault="00CC732D" w:rsidP="005F5956">
      <w:pPr>
        <w:spacing w:after="60"/>
        <w:jc w:val="both"/>
        <w:rPr>
          <w:b/>
          <w:bCs/>
        </w:rPr>
      </w:pPr>
    </w:p>
    <w:p w14:paraId="2BE7276A" w14:textId="77777777" w:rsidR="005F5956" w:rsidRDefault="005F5956" w:rsidP="005F5956">
      <w:pPr>
        <w:spacing w:after="60"/>
        <w:jc w:val="both"/>
      </w:pPr>
      <w:r w:rsidRPr="005F5956">
        <w:t>Trois leviers opérationnels se dégagent directement de l'étude :</w:t>
      </w:r>
    </w:p>
    <w:p w14:paraId="75A8C8EF" w14:textId="77777777" w:rsidR="00CC732D" w:rsidRPr="005F5956" w:rsidRDefault="00CC732D" w:rsidP="005F5956">
      <w:pPr>
        <w:spacing w:after="60"/>
        <w:jc w:val="both"/>
      </w:pPr>
    </w:p>
    <w:p w14:paraId="3F848586" w14:textId="77777777" w:rsidR="00CC732D" w:rsidRDefault="005F5956" w:rsidP="005F5956">
      <w:pPr>
        <w:pStyle w:val="Paragraphedeliste"/>
        <w:numPr>
          <w:ilvl w:val="0"/>
          <w:numId w:val="6"/>
        </w:numPr>
        <w:spacing w:after="60"/>
        <w:jc w:val="both"/>
      </w:pPr>
      <w:r w:rsidRPr="00CC732D">
        <w:rPr>
          <w:b/>
          <w:bCs/>
        </w:rPr>
        <w:t>Utiliser le pack multiplex avortement comme sentinelle des MVT</w:t>
      </w:r>
      <w:r w:rsidR="00CC732D" w:rsidRPr="00CC732D">
        <w:rPr>
          <w:b/>
          <w:bCs/>
        </w:rPr>
        <w:t> :</w:t>
      </w:r>
      <w:r w:rsidRPr="005F5956">
        <w:t xml:space="preserve"> La détection d'</w:t>
      </w:r>
      <w:r w:rsidRPr="00CC732D">
        <w:rPr>
          <w:i/>
          <w:iCs/>
        </w:rPr>
        <w:t xml:space="preserve">A. </w:t>
      </w:r>
      <w:proofErr w:type="spellStart"/>
      <w:r w:rsidRPr="00CC732D">
        <w:rPr>
          <w:i/>
          <w:iCs/>
        </w:rPr>
        <w:t>phagocytophilum</w:t>
      </w:r>
      <w:proofErr w:type="spellEnd"/>
      <w:r w:rsidRPr="005F5956">
        <w:t xml:space="preserve"> sur écouvillon vaginal lors d'un avortement doit être considérée comme un </w:t>
      </w:r>
      <w:r w:rsidRPr="00CC732D">
        <w:rPr>
          <w:b/>
          <w:bCs/>
        </w:rPr>
        <w:t>signal d'alerte global</w:t>
      </w:r>
      <w:r w:rsidRPr="005F5956">
        <w:t xml:space="preserve"> pour la pression vectorielle du troupeau : 80 % des tiques positives à l'ehrlichiose portent également </w:t>
      </w:r>
      <w:r w:rsidRPr="00CC732D">
        <w:rPr>
          <w:i/>
          <w:iCs/>
        </w:rPr>
        <w:t>Borrelia</w:t>
      </w:r>
      <w:r w:rsidRPr="005F5956">
        <w:t>, et d'autres agents peuvent coexister. Un résultat positif invite donc à élargir l'évaluation (sérologie du lot, examen clinique, inspection des pâtures).</w:t>
      </w:r>
    </w:p>
    <w:p w14:paraId="4810755A" w14:textId="77777777" w:rsidR="00CC732D" w:rsidRDefault="00CC732D" w:rsidP="00CC732D">
      <w:pPr>
        <w:spacing w:after="60"/>
        <w:jc w:val="both"/>
      </w:pPr>
    </w:p>
    <w:p w14:paraId="031825AD" w14:textId="1C908CC0" w:rsidR="00CC732D" w:rsidRDefault="005F5956" w:rsidP="005F5956">
      <w:pPr>
        <w:pStyle w:val="Paragraphedeliste"/>
        <w:numPr>
          <w:ilvl w:val="0"/>
          <w:numId w:val="6"/>
        </w:numPr>
        <w:spacing w:after="60"/>
        <w:jc w:val="both"/>
      </w:pPr>
      <w:r w:rsidRPr="00CC732D">
        <w:rPr>
          <w:b/>
          <w:bCs/>
        </w:rPr>
        <w:t>Intégrer les MVT aux diagnostics différentiels</w:t>
      </w:r>
      <w:r w:rsidR="00480EBC">
        <w:rPr>
          <w:b/>
          <w:bCs/>
        </w:rPr>
        <w:t> :</w:t>
      </w:r>
      <w:r w:rsidRPr="005F5956">
        <w:t xml:space="preserve"> Face à des tableaux cliniques de type hyperthermie isolée, chute de production laitière sans mammite objectivable, avortements répétés ou arthrites du jeune, la piste vectorielle mérite d'être systématiquement envisagée, notamment en période de transhumance ou de forte exposition pâturale.</w:t>
      </w:r>
    </w:p>
    <w:p w14:paraId="506A1EE2" w14:textId="77777777" w:rsidR="00CC732D" w:rsidRPr="00CC732D" w:rsidRDefault="00CC732D" w:rsidP="00CC732D">
      <w:pPr>
        <w:pStyle w:val="Paragraphedeliste"/>
        <w:rPr>
          <w:b/>
          <w:bCs/>
        </w:rPr>
      </w:pPr>
    </w:p>
    <w:p w14:paraId="3F3D292A" w14:textId="721A68EE" w:rsidR="005F5956" w:rsidRPr="005F5956" w:rsidRDefault="005F5956" w:rsidP="005F5956">
      <w:pPr>
        <w:pStyle w:val="Paragraphedeliste"/>
        <w:numPr>
          <w:ilvl w:val="0"/>
          <w:numId w:val="6"/>
        </w:numPr>
        <w:spacing w:after="60"/>
        <w:jc w:val="both"/>
      </w:pPr>
      <w:r w:rsidRPr="00CC732D">
        <w:rPr>
          <w:b/>
          <w:bCs/>
        </w:rPr>
        <w:t>Conseiller une approche intégrée de prévention</w:t>
      </w:r>
      <w:r w:rsidR="00480EBC">
        <w:rPr>
          <w:b/>
          <w:bCs/>
        </w:rPr>
        <w:t xml:space="preserve"> : </w:t>
      </w:r>
      <w:r w:rsidRPr="005F5956">
        <w:t>La lutte contre les MVT ne peut reposer sur le seul acaricide</w:t>
      </w:r>
      <w:r w:rsidR="004472F4">
        <w:t> :</w:t>
      </w:r>
      <w:r w:rsidRPr="005F5956">
        <w:t xml:space="preserve"> elle associe gestion des lisières et des zones humides, adaptation des rotations de pâturage, renforcement immunitaire des animaux </w:t>
      </w:r>
      <w:r w:rsidRPr="00CC732D">
        <w:rPr>
          <w:i/>
          <w:iCs/>
        </w:rPr>
        <w:t>(bilan Nutri-Santé</w:t>
      </w:r>
      <w:r w:rsidR="004472F4">
        <w:rPr>
          <w:i/>
          <w:iCs/>
        </w:rPr>
        <w:t xml:space="preserve"> </w:t>
      </w:r>
      <w:r w:rsidR="004472F4" w:rsidRPr="004472F4">
        <w:rPr>
          <w:i/>
          <w:iCs/>
        </w:rPr>
        <w:t>®</w:t>
      </w:r>
      <w:r w:rsidRPr="00CC732D">
        <w:rPr>
          <w:i/>
          <w:iCs/>
        </w:rPr>
        <w:t>, alimentation)</w:t>
      </w:r>
      <w:r w:rsidRPr="005F5956">
        <w:t>, vigilance clinique partagée avec l'éleveur, et — piste à confirmer — choix raisonné des amendements.</w:t>
      </w:r>
      <w:r w:rsidR="004472F4">
        <w:t xml:space="preserve"> Il s’agit de leviers cohérents pour un vecteur croissant et particulièrement difficile à maitriser.</w:t>
      </w:r>
    </w:p>
    <w:p w14:paraId="10A705BF" w14:textId="77777777" w:rsidR="005F5956" w:rsidRDefault="005F5956" w:rsidP="00B524AE">
      <w:pPr>
        <w:spacing w:after="60"/>
        <w:jc w:val="both"/>
      </w:pPr>
    </w:p>
    <w:p w14:paraId="43DEB9D7" w14:textId="16DD8625" w:rsidR="004472F4" w:rsidRDefault="004472F4" w:rsidP="004472F4">
      <w:pPr>
        <w:spacing w:after="60"/>
        <w:jc w:val="both"/>
        <w:rPr>
          <w:b/>
          <w:bCs/>
          <w:sz w:val="26"/>
          <w:szCs w:val="26"/>
        </w:rPr>
      </w:pPr>
      <w:r w:rsidRPr="004472F4">
        <w:rPr>
          <w:b/>
          <w:bCs/>
          <w:sz w:val="26"/>
          <w:szCs w:val="26"/>
        </w:rPr>
        <w:t>5. Conclusion</w:t>
      </w:r>
    </w:p>
    <w:p w14:paraId="227E86EA" w14:textId="77777777" w:rsidR="004472F4" w:rsidRPr="004472F4" w:rsidRDefault="004472F4" w:rsidP="004472F4">
      <w:pPr>
        <w:spacing w:after="60"/>
        <w:jc w:val="both"/>
        <w:rPr>
          <w:b/>
          <w:bCs/>
          <w:sz w:val="26"/>
          <w:szCs w:val="26"/>
        </w:rPr>
      </w:pPr>
    </w:p>
    <w:p w14:paraId="01A0D495" w14:textId="0A9A7370" w:rsidR="004472F4" w:rsidRDefault="004472F4" w:rsidP="004472F4">
      <w:pPr>
        <w:spacing w:after="60"/>
        <w:jc w:val="both"/>
      </w:pPr>
      <w:r w:rsidRPr="004472F4">
        <w:t xml:space="preserve">Cette étude départementale conduite dans 29 élevages bovins vosgiens confirme que les </w:t>
      </w:r>
      <w:r w:rsidRPr="004472F4">
        <w:rPr>
          <w:b/>
          <w:bCs/>
        </w:rPr>
        <w:t>maladies vectorielles à tiques constituent un enjeu sanitaire sous-estimé</w:t>
      </w:r>
      <w:r w:rsidRPr="004472F4">
        <w:t xml:space="preserve"> en élevage, avec cinq messages-clés</w:t>
      </w:r>
      <w:r>
        <w:t xml:space="preserve"> </w:t>
      </w:r>
      <w:r w:rsidRPr="004472F4">
        <w:t>:</w:t>
      </w:r>
    </w:p>
    <w:p w14:paraId="04283DF5" w14:textId="77777777" w:rsidR="004472F4" w:rsidRPr="004472F4" w:rsidRDefault="004472F4" w:rsidP="004472F4">
      <w:pPr>
        <w:spacing w:after="60"/>
        <w:jc w:val="both"/>
      </w:pPr>
    </w:p>
    <w:p w14:paraId="120806F6" w14:textId="0627D8C6" w:rsidR="004472F4" w:rsidRDefault="004472F4" w:rsidP="004472F4">
      <w:pPr>
        <w:pStyle w:val="Paragraphedeliste"/>
        <w:numPr>
          <w:ilvl w:val="0"/>
          <w:numId w:val="7"/>
        </w:numPr>
        <w:spacing w:after="60"/>
        <w:jc w:val="both"/>
      </w:pPr>
      <w:r w:rsidRPr="004472F4">
        <w:t xml:space="preserve">La pression vectorielle est </w:t>
      </w:r>
      <w:r w:rsidRPr="004472F4">
        <w:rPr>
          <w:b/>
          <w:bCs/>
        </w:rPr>
        <w:t>élevée et généralisée</w:t>
      </w:r>
      <w:r w:rsidRPr="004472F4">
        <w:t xml:space="preserve"> : 940 tiques/ha en moyenne, 76 % des élevages</w:t>
      </w:r>
      <w:r>
        <w:t xml:space="preserve"> vosgiens</w:t>
      </w:r>
      <w:r w:rsidRPr="004472F4">
        <w:t xml:space="preserve"> concernés par </w:t>
      </w:r>
      <w:r w:rsidRPr="004472F4">
        <w:rPr>
          <w:i/>
          <w:iCs/>
        </w:rPr>
        <w:t xml:space="preserve">Anaplasma </w:t>
      </w:r>
      <w:proofErr w:type="spellStart"/>
      <w:r w:rsidRPr="004472F4">
        <w:rPr>
          <w:i/>
          <w:iCs/>
        </w:rPr>
        <w:t>phagocytophilum</w:t>
      </w:r>
      <w:proofErr w:type="spellEnd"/>
      <w:r w:rsidRPr="004472F4">
        <w:t>, sans différence statistique entre élevages à historique clinique et leurs voisins.</w:t>
      </w:r>
    </w:p>
    <w:p w14:paraId="11ABC817" w14:textId="77777777" w:rsidR="004472F4" w:rsidRPr="004472F4" w:rsidRDefault="004472F4" w:rsidP="004472F4">
      <w:pPr>
        <w:pStyle w:val="Paragraphedeliste"/>
        <w:spacing w:after="60"/>
        <w:ind w:left="720"/>
        <w:jc w:val="both"/>
      </w:pPr>
    </w:p>
    <w:p w14:paraId="58FFD300" w14:textId="0C5249C9" w:rsidR="004472F4" w:rsidRDefault="004472F4" w:rsidP="004472F4">
      <w:pPr>
        <w:pStyle w:val="Paragraphedeliste"/>
        <w:numPr>
          <w:ilvl w:val="0"/>
          <w:numId w:val="7"/>
        </w:numPr>
        <w:spacing w:after="60"/>
        <w:jc w:val="both"/>
      </w:pPr>
      <w:r w:rsidRPr="004472F4">
        <w:t xml:space="preserve">Les </w:t>
      </w:r>
      <w:r w:rsidRPr="004472F4">
        <w:rPr>
          <w:b/>
          <w:bCs/>
        </w:rPr>
        <w:t>co-infections</w:t>
      </w:r>
      <w:r w:rsidRPr="004472F4">
        <w:t xml:space="preserve"> dans les tiques sont la règle plutôt que l'exception : 80 % des tiques positives à l'ehrlichiose portent également </w:t>
      </w:r>
      <w:r w:rsidRPr="004472F4">
        <w:rPr>
          <w:i/>
          <w:iCs/>
        </w:rPr>
        <w:t>Borrelia</w:t>
      </w:r>
      <w:r w:rsidRPr="004472F4">
        <w:t>, renforçant la complexité des tableaux cliniques potentiels.</w:t>
      </w:r>
    </w:p>
    <w:p w14:paraId="364A388C" w14:textId="77777777" w:rsidR="004472F4" w:rsidRDefault="004472F4" w:rsidP="004472F4">
      <w:pPr>
        <w:pStyle w:val="Paragraphedeliste"/>
      </w:pPr>
    </w:p>
    <w:p w14:paraId="440EF177" w14:textId="77777777" w:rsidR="004472F4" w:rsidRPr="004472F4" w:rsidRDefault="004472F4" w:rsidP="004472F4">
      <w:pPr>
        <w:pStyle w:val="Paragraphedeliste"/>
        <w:spacing w:after="60"/>
        <w:ind w:left="720"/>
        <w:jc w:val="both"/>
      </w:pPr>
    </w:p>
    <w:p w14:paraId="694E7EDA" w14:textId="59593F1F" w:rsidR="004472F4" w:rsidRDefault="004472F4" w:rsidP="004472F4">
      <w:pPr>
        <w:pStyle w:val="Paragraphedeliste"/>
        <w:numPr>
          <w:ilvl w:val="0"/>
          <w:numId w:val="7"/>
        </w:numPr>
        <w:spacing w:after="60"/>
        <w:jc w:val="both"/>
      </w:pPr>
      <w:proofErr w:type="spellStart"/>
      <w:r w:rsidRPr="004472F4">
        <w:rPr>
          <w:i/>
          <w:iCs/>
        </w:rPr>
        <w:t>Anaplasma</w:t>
      </w:r>
      <w:proofErr w:type="spellEnd"/>
      <w:r w:rsidRPr="004472F4">
        <w:rPr>
          <w:i/>
          <w:iCs/>
        </w:rPr>
        <w:t xml:space="preserve"> </w:t>
      </w:r>
      <w:proofErr w:type="spellStart"/>
      <w:r w:rsidRPr="004472F4">
        <w:rPr>
          <w:i/>
          <w:iCs/>
        </w:rPr>
        <w:t>phagocytophilum</w:t>
      </w:r>
      <w:proofErr w:type="spellEnd"/>
      <w:r w:rsidRPr="004472F4">
        <w:t xml:space="preserve"> peut être utilisé comme </w:t>
      </w:r>
      <w:r w:rsidRPr="004472F4">
        <w:rPr>
          <w:b/>
          <w:bCs/>
        </w:rPr>
        <w:t>agent sentinelle</w:t>
      </w:r>
      <w:r w:rsidRPr="004472F4">
        <w:t xml:space="preserve"> : sa détection via le pack multiplex avortement signale une pression vectorielle</w:t>
      </w:r>
      <w:r>
        <w:t xml:space="preserve"> liée aux MVT</w:t>
      </w:r>
      <w:r w:rsidRPr="004472F4">
        <w:t xml:space="preserve"> active dans le troupeau et doit déclencher une évaluation élargie.</w:t>
      </w:r>
    </w:p>
    <w:p w14:paraId="3D12CC39" w14:textId="77777777" w:rsidR="004472F4" w:rsidRPr="004472F4" w:rsidRDefault="004472F4" w:rsidP="004472F4">
      <w:pPr>
        <w:pStyle w:val="Paragraphedeliste"/>
        <w:spacing w:after="60"/>
        <w:ind w:left="720"/>
        <w:jc w:val="both"/>
      </w:pPr>
    </w:p>
    <w:p w14:paraId="03655D3F" w14:textId="1769B502" w:rsidR="004472F4" w:rsidRDefault="004472F4" w:rsidP="004472F4">
      <w:pPr>
        <w:pStyle w:val="Paragraphedeliste"/>
        <w:numPr>
          <w:ilvl w:val="0"/>
          <w:numId w:val="7"/>
        </w:numPr>
        <w:spacing w:after="60"/>
        <w:jc w:val="both"/>
      </w:pPr>
      <w:r w:rsidRPr="004472F4">
        <w:t>Deux leviers de prévention se détachent : le maintien d'un antiparasitaire externe (risque doublé en son absence) et, piste originale à confirmer, l'amendement minéral ou calcique des parcelles.</w:t>
      </w:r>
    </w:p>
    <w:p w14:paraId="371C5A55" w14:textId="77777777" w:rsidR="004472F4" w:rsidRDefault="004472F4" w:rsidP="004472F4">
      <w:pPr>
        <w:pStyle w:val="Paragraphedeliste"/>
      </w:pPr>
    </w:p>
    <w:p w14:paraId="62B6EA83" w14:textId="2983B0F3" w:rsidR="004472F4" w:rsidRDefault="004472F4" w:rsidP="004472F4">
      <w:pPr>
        <w:pStyle w:val="Paragraphedeliste"/>
        <w:numPr>
          <w:ilvl w:val="0"/>
          <w:numId w:val="7"/>
        </w:numPr>
        <w:spacing w:after="60"/>
        <w:jc w:val="both"/>
      </w:pPr>
      <w:r w:rsidRPr="004472F4">
        <w:lastRenderedPageBreak/>
        <w:t xml:space="preserve">La </w:t>
      </w:r>
      <w:r w:rsidRPr="004472F4">
        <w:rPr>
          <w:b/>
          <w:bCs/>
        </w:rPr>
        <w:t>clinique seule</w:t>
      </w:r>
      <w:r>
        <w:rPr>
          <w:b/>
          <w:bCs/>
        </w:rPr>
        <w:t xml:space="preserve"> et les observations éleveurs sont</w:t>
      </w:r>
      <w:r w:rsidRPr="004472F4">
        <w:rPr>
          <w:b/>
          <w:bCs/>
        </w:rPr>
        <w:t xml:space="preserve"> insuffisante</w:t>
      </w:r>
      <w:r>
        <w:rPr>
          <w:b/>
          <w:bCs/>
        </w:rPr>
        <w:t>s</w:t>
      </w:r>
      <w:r w:rsidRPr="004472F4">
        <w:t xml:space="preserve"> pour évaluer le risque : la sérologie ciblée sur 6 à 10 animaux apporte une information plus objective, particulièrement dans les élevages où la circulation chronique peut avoir banalisé les symptômes.</w:t>
      </w:r>
    </w:p>
    <w:p w14:paraId="707D789E" w14:textId="77777777" w:rsidR="004472F4" w:rsidRDefault="004472F4" w:rsidP="004472F4">
      <w:pPr>
        <w:pStyle w:val="Paragraphedeliste"/>
      </w:pPr>
    </w:p>
    <w:p w14:paraId="26320045" w14:textId="77777777" w:rsidR="004472F4" w:rsidRPr="004472F4" w:rsidRDefault="004472F4" w:rsidP="004472F4">
      <w:pPr>
        <w:pStyle w:val="Paragraphedeliste"/>
        <w:spacing w:after="60"/>
        <w:ind w:left="720"/>
        <w:jc w:val="both"/>
      </w:pPr>
    </w:p>
    <w:p w14:paraId="1E4F9F60" w14:textId="77777777" w:rsidR="004472F4" w:rsidRDefault="004472F4" w:rsidP="004472F4">
      <w:pPr>
        <w:spacing w:after="60"/>
        <w:jc w:val="both"/>
      </w:pPr>
      <w:r w:rsidRPr="004472F4">
        <w:t xml:space="preserve">Au-delà des résultats épidémiologiques, cette étude illustre la valeur d'une </w:t>
      </w:r>
      <w:r w:rsidRPr="004472F4">
        <w:rPr>
          <w:b/>
          <w:bCs/>
        </w:rPr>
        <w:t>démarche territorialisée One Health</w:t>
      </w:r>
      <w:r w:rsidRPr="004472F4">
        <w:t xml:space="preserve"> associant GDS, laboratoires départementaux, recherche publique (ANSES, </w:t>
      </w:r>
      <w:proofErr w:type="spellStart"/>
      <w:r w:rsidRPr="004472F4">
        <w:t>CiTIQUE</w:t>
      </w:r>
      <w:proofErr w:type="spellEnd"/>
      <w:r w:rsidRPr="004472F4">
        <w:t>) et vétérinaires praticiens. Cette approche, reproductible dans d'autres départements, constitue un cadre pertinent pour documenter et prévenir des maladies dont l'impact reste largement sous-estimé chez les ruminants.</w:t>
      </w:r>
    </w:p>
    <w:p w14:paraId="7D2CB380" w14:textId="77777777" w:rsidR="004472F4" w:rsidRPr="004472F4" w:rsidRDefault="004472F4" w:rsidP="004472F4">
      <w:pPr>
        <w:spacing w:after="60"/>
        <w:jc w:val="both"/>
      </w:pPr>
    </w:p>
    <w:p w14:paraId="6FA1DC0C" w14:textId="77777777" w:rsidR="004472F4" w:rsidRDefault="004472F4" w:rsidP="004472F4">
      <w:pPr>
        <w:spacing w:after="60"/>
        <w:jc w:val="both"/>
        <w:rPr>
          <w:b/>
          <w:bCs/>
        </w:rPr>
      </w:pPr>
      <w:r w:rsidRPr="004472F4">
        <w:rPr>
          <w:b/>
          <w:bCs/>
        </w:rPr>
        <w:t>Remerciements</w:t>
      </w:r>
    </w:p>
    <w:p w14:paraId="6D923280" w14:textId="77777777" w:rsidR="004472F4" w:rsidRPr="004472F4" w:rsidRDefault="004472F4" w:rsidP="004472F4">
      <w:pPr>
        <w:spacing w:after="60"/>
        <w:jc w:val="both"/>
      </w:pPr>
    </w:p>
    <w:p w14:paraId="2F839EB6" w14:textId="0929C552" w:rsidR="004472F4" w:rsidRDefault="004472F4" w:rsidP="004472F4">
      <w:pPr>
        <w:spacing w:after="60"/>
        <w:jc w:val="both"/>
      </w:pPr>
      <w:r w:rsidRPr="004472F4">
        <w:t>Les auteurs</w:t>
      </w:r>
      <w:r>
        <w:t>, Carine HAAS et Amarin MAXANT-PUCCIO du GDS des Vosges,</w:t>
      </w:r>
      <w:r w:rsidRPr="004472F4">
        <w:t xml:space="preserve"> remercient chaleureusement </w:t>
      </w:r>
      <w:r w:rsidRPr="004472F4">
        <w:rPr>
          <w:b/>
          <w:bCs/>
        </w:rPr>
        <w:t>les éleveurs vosgiens</w:t>
      </w:r>
      <w:r w:rsidRPr="004472F4">
        <w:t xml:space="preserve"> ayant accepté de participer à l'étude et ouvert leurs exploitations aux prélèvements et enquêtes, ainsi que </w:t>
      </w:r>
      <w:r w:rsidRPr="004472F4">
        <w:rPr>
          <w:b/>
          <w:bCs/>
        </w:rPr>
        <w:t>les vétérinaires sanitaires et traitants</w:t>
      </w:r>
      <w:r>
        <w:t xml:space="preserve"> </w:t>
      </w:r>
      <w:r w:rsidRPr="004472F4">
        <w:t>impliqués dans la collecte des échantillons</w:t>
      </w:r>
      <w:r>
        <w:t xml:space="preserve"> de sang</w:t>
      </w:r>
      <w:r w:rsidRPr="004472F4">
        <w:t>.</w:t>
      </w:r>
    </w:p>
    <w:p w14:paraId="13E8D52D" w14:textId="77777777" w:rsidR="004472F4" w:rsidRPr="004472F4" w:rsidRDefault="004472F4" w:rsidP="004472F4">
      <w:pPr>
        <w:spacing w:after="60"/>
        <w:jc w:val="both"/>
      </w:pPr>
    </w:p>
    <w:p w14:paraId="676C8AC0" w14:textId="77777777" w:rsidR="004472F4" w:rsidRDefault="004472F4" w:rsidP="004472F4">
      <w:pPr>
        <w:spacing w:after="60"/>
        <w:jc w:val="both"/>
      </w:pPr>
      <w:r w:rsidRPr="004472F4">
        <w:t xml:space="preserve">Ils adressent leurs remerciements aux équipes techniques et scientifiques partenaires : </w:t>
      </w:r>
      <w:r w:rsidRPr="004472F4">
        <w:rPr>
          <w:b/>
          <w:bCs/>
        </w:rPr>
        <w:t>Laboratoire Départemental Vétérinaire et Alimentaire des Vosges (LDVA88)</w:t>
      </w:r>
      <w:r w:rsidRPr="004472F4">
        <w:t xml:space="preserve">, </w:t>
      </w:r>
      <w:r w:rsidRPr="004472F4">
        <w:rPr>
          <w:b/>
          <w:bCs/>
        </w:rPr>
        <w:t>Laboratoire Départemental d'Analyses de la Dordogne (LDA 24)</w:t>
      </w:r>
      <w:r w:rsidRPr="004472F4">
        <w:t xml:space="preserve">, </w:t>
      </w:r>
      <w:r w:rsidRPr="004472F4">
        <w:rPr>
          <w:b/>
          <w:bCs/>
        </w:rPr>
        <w:t>ANSES – Laboratoire de Santé Animale, UMR BIPAR</w:t>
      </w:r>
      <w:r w:rsidRPr="004472F4">
        <w:t xml:space="preserve"> (Maisons-Alfort), et </w:t>
      </w:r>
      <w:proofErr w:type="spellStart"/>
      <w:r w:rsidRPr="004472F4">
        <w:rPr>
          <w:b/>
          <w:bCs/>
        </w:rPr>
        <w:t>CiTIQUE</w:t>
      </w:r>
      <w:proofErr w:type="spellEnd"/>
      <w:r w:rsidRPr="004472F4">
        <w:rPr>
          <w:b/>
          <w:bCs/>
        </w:rPr>
        <w:t xml:space="preserve"> / INRAE Grand Est, UMR IAM</w:t>
      </w:r>
      <w:r w:rsidRPr="004472F4">
        <w:t xml:space="preserve"> (Nancy).</w:t>
      </w:r>
    </w:p>
    <w:p w14:paraId="2BF59860" w14:textId="77777777" w:rsidR="004472F4" w:rsidRPr="004472F4" w:rsidRDefault="004472F4" w:rsidP="004472F4">
      <w:pPr>
        <w:spacing w:after="60"/>
        <w:jc w:val="both"/>
      </w:pPr>
    </w:p>
    <w:p w14:paraId="7555143D" w14:textId="71391E19" w:rsidR="004472F4" w:rsidRDefault="004472F4" w:rsidP="004472F4">
      <w:pPr>
        <w:spacing w:after="60"/>
        <w:jc w:val="both"/>
      </w:pPr>
      <w:r w:rsidRPr="004472F4">
        <w:t xml:space="preserve">Les auteurs </w:t>
      </w:r>
      <w:r>
        <w:t xml:space="preserve">indiquent, par ailleurs, que l’étude a été réalisée intégralement sur les </w:t>
      </w:r>
      <w:r w:rsidRPr="004472F4">
        <w:rPr>
          <w:b/>
          <w:bCs/>
        </w:rPr>
        <w:t>fonds propres du GDS des Vosges</w:t>
      </w:r>
      <w:r>
        <w:t xml:space="preserve">. L’aide technique apporté par l’ANSES – UMR </w:t>
      </w:r>
      <w:proofErr w:type="spellStart"/>
      <w:r>
        <w:t>Bipar</w:t>
      </w:r>
      <w:proofErr w:type="spellEnd"/>
      <w:r>
        <w:t>, par les équipes du Dr. Sarah MOUTALLIER, est également à souligner.</w:t>
      </w:r>
    </w:p>
    <w:p w14:paraId="6319856F" w14:textId="77777777" w:rsidR="004472F4" w:rsidRPr="004472F4" w:rsidRDefault="004472F4" w:rsidP="004472F4">
      <w:pPr>
        <w:spacing w:after="60"/>
        <w:jc w:val="both"/>
      </w:pPr>
    </w:p>
    <w:p w14:paraId="5BF64E5C" w14:textId="77777777" w:rsidR="004472F4" w:rsidRDefault="004472F4" w:rsidP="004472F4">
      <w:pPr>
        <w:spacing w:after="60"/>
        <w:jc w:val="both"/>
        <w:rPr>
          <w:b/>
          <w:bCs/>
        </w:rPr>
      </w:pPr>
      <w:r w:rsidRPr="004472F4">
        <w:rPr>
          <w:b/>
          <w:bCs/>
        </w:rPr>
        <w:t>Références bibliographiques</w:t>
      </w:r>
    </w:p>
    <w:p w14:paraId="5F605505" w14:textId="77777777" w:rsidR="004472F4" w:rsidRPr="004472F4" w:rsidRDefault="004472F4" w:rsidP="004472F4">
      <w:pPr>
        <w:spacing w:after="60"/>
        <w:jc w:val="both"/>
      </w:pPr>
    </w:p>
    <w:p w14:paraId="13291656" w14:textId="77777777" w:rsidR="004472F4" w:rsidRPr="00324225" w:rsidRDefault="004472F4" w:rsidP="004472F4">
      <w:pPr>
        <w:spacing w:after="60"/>
        <w:jc w:val="both"/>
        <w:rPr>
          <w:lang w:val="en-US"/>
        </w:rPr>
      </w:pPr>
      <w:proofErr w:type="spellStart"/>
      <w:r w:rsidRPr="004472F4">
        <w:rPr>
          <w:b/>
          <w:bCs/>
        </w:rPr>
        <w:t>Agoulon</w:t>
      </w:r>
      <w:proofErr w:type="spellEnd"/>
      <w:r w:rsidRPr="004472F4">
        <w:rPr>
          <w:b/>
          <w:bCs/>
        </w:rPr>
        <w:t xml:space="preserve"> A., Malandrin L., Lepigeon F., </w:t>
      </w:r>
      <w:proofErr w:type="spellStart"/>
      <w:r w:rsidRPr="004472F4">
        <w:rPr>
          <w:b/>
          <w:bCs/>
        </w:rPr>
        <w:t>Venisse</w:t>
      </w:r>
      <w:proofErr w:type="spellEnd"/>
      <w:r w:rsidRPr="004472F4">
        <w:rPr>
          <w:b/>
          <w:bCs/>
        </w:rPr>
        <w:t xml:space="preserve"> M., Bonnet S., Becker C. A., Hoch T., Bastian S., Plantard O., </w:t>
      </w:r>
      <w:proofErr w:type="spellStart"/>
      <w:r w:rsidRPr="004472F4">
        <w:rPr>
          <w:b/>
          <w:bCs/>
        </w:rPr>
        <w:t>Beaudeau</w:t>
      </w:r>
      <w:proofErr w:type="spellEnd"/>
      <w:r w:rsidRPr="004472F4">
        <w:rPr>
          <w:b/>
          <w:bCs/>
        </w:rPr>
        <w:t xml:space="preserve"> F.</w:t>
      </w:r>
      <w:r w:rsidRPr="004472F4">
        <w:t xml:space="preserve">, 2012. </w:t>
      </w:r>
      <w:r w:rsidRPr="00324225">
        <w:rPr>
          <w:lang w:val="en-US"/>
        </w:rPr>
        <w:t xml:space="preserve">A vegetation index qualifying pasture edges is related to </w:t>
      </w:r>
      <w:r w:rsidRPr="00324225">
        <w:rPr>
          <w:i/>
          <w:iCs/>
          <w:lang w:val="en-US"/>
        </w:rPr>
        <w:t xml:space="preserve">Ixodes </w:t>
      </w:r>
      <w:proofErr w:type="spellStart"/>
      <w:r w:rsidRPr="00324225">
        <w:rPr>
          <w:i/>
          <w:iCs/>
          <w:lang w:val="en-US"/>
        </w:rPr>
        <w:t>ricinus</w:t>
      </w:r>
      <w:proofErr w:type="spellEnd"/>
      <w:r w:rsidRPr="00324225">
        <w:rPr>
          <w:lang w:val="en-US"/>
        </w:rPr>
        <w:t xml:space="preserve"> density and to </w:t>
      </w:r>
      <w:r w:rsidRPr="00324225">
        <w:rPr>
          <w:i/>
          <w:iCs/>
          <w:lang w:val="en-US"/>
        </w:rPr>
        <w:t>Babesia divergens</w:t>
      </w:r>
      <w:r w:rsidRPr="00324225">
        <w:rPr>
          <w:lang w:val="en-US"/>
        </w:rPr>
        <w:t xml:space="preserve"> seroprevalence in dairy cattle herds. </w:t>
      </w:r>
      <w:r w:rsidRPr="00324225">
        <w:rPr>
          <w:i/>
          <w:iCs/>
          <w:lang w:val="en-US"/>
        </w:rPr>
        <w:t>Veterinary Parasitology</w:t>
      </w:r>
      <w:r w:rsidRPr="00324225">
        <w:rPr>
          <w:lang w:val="en-US"/>
        </w:rPr>
        <w:t>, 185(2-4), 101-109.</w:t>
      </w:r>
    </w:p>
    <w:p w14:paraId="647D3F2B" w14:textId="77777777" w:rsidR="004472F4" w:rsidRPr="00324225" w:rsidRDefault="004472F4" w:rsidP="004472F4">
      <w:pPr>
        <w:spacing w:after="60"/>
        <w:jc w:val="both"/>
        <w:rPr>
          <w:lang w:val="en-US"/>
        </w:rPr>
      </w:pPr>
    </w:p>
    <w:p w14:paraId="2A4A9ED6" w14:textId="77777777" w:rsidR="004472F4" w:rsidRDefault="004472F4" w:rsidP="004472F4">
      <w:pPr>
        <w:spacing w:after="60"/>
        <w:jc w:val="both"/>
      </w:pPr>
      <w:r w:rsidRPr="00324225">
        <w:rPr>
          <w:b/>
          <w:bCs/>
          <w:lang w:val="en-US"/>
        </w:rPr>
        <w:t xml:space="preserve">Bauer B. U., </w:t>
      </w:r>
      <w:proofErr w:type="spellStart"/>
      <w:r w:rsidRPr="00324225">
        <w:rPr>
          <w:b/>
          <w:bCs/>
          <w:lang w:val="en-US"/>
        </w:rPr>
        <w:t>Răileanu</w:t>
      </w:r>
      <w:proofErr w:type="spellEnd"/>
      <w:r w:rsidRPr="00324225">
        <w:rPr>
          <w:b/>
          <w:bCs/>
          <w:lang w:val="en-US"/>
        </w:rPr>
        <w:t xml:space="preserve"> C., </w:t>
      </w:r>
      <w:proofErr w:type="spellStart"/>
      <w:r w:rsidRPr="00324225">
        <w:rPr>
          <w:b/>
          <w:bCs/>
          <w:lang w:val="en-US"/>
        </w:rPr>
        <w:t>Tauchmann</w:t>
      </w:r>
      <w:proofErr w:type="spellEnd"/>
      <w:r w:rsidRPr="00324225">
        <w:rPr>
          <w:b/>
          <w:bCs/>
          <w:lang w:val="en-US"/>
        </w:rPr>
        <w:t xml:space="preserve"> O., Fischer S., Ambros C., Silaghi C., Ganter M.</w:t>
      </w:r>
      <w:r w:rsidRPr="00324225">
        <w:rPr>
          <w:lang w:val="en-US"/>
        </w:rPr>
        <w:t xml:space="preserve">, 2021. </w:t>
      </w:r>
      <w:proofErr w:type="spellStart"/>
      <w:r w:rsidRPr="00324225">
        <w:rPr>
          <w:i/>
          <w:iCs/>
          <w:lang w:val="en-US"/>
        </w:rPr>
        <w:t>Anaplasma</w:t>
      </w:r>
      <w:proofErr w:type="spellEnd"/>
      <w:r w:rsidRPr="00324225">
        <w:rPr>
          <w:i/>
          <w:iCs/>
          <w:lang w:val="en-US"/>
        </w:rPr>
        <w:t xml:space="preserve"> </w:t>
      </w:r>
      <w:proofErr w:type="spellStart"/>
      <w:r w:rsidRPr="00324225">
        <w:rPr>
          <w:i/>
          <w:iCs/>
          <w:lang w:val="en-US"/>
        </w:rPr>
        <w:t>phagocytophilum</w:t>
      </w:r>
      <w:proofErr w:type="spellEnd"/>
      <w:r w:rsidRPr="00324225">
        <w:rPr>
          <w:lang w:val="en-US"/>
        </w:rPr>
        <w:t xml:space="preserve"> and </w:t>
      </w:r>
      <w:proofErr w:type="spellStart"/>
      <w:r w:rsidRPr="00324225">
        <w:rPr>
          <w:i/>
          <w:iCs/>
          <w:lang w:val="en-US"/>
        </w:rPr>
        <w:t>Anaplasma</w:t>
      </w:r>
      <w:proofErr w:type="spellEnd"/>
      <w:r w:rsidRPr="00324225">
        <w:rPr>
          <w:i/>
          <w:iCs/>
          <w:lang w:val="en-US"/>
        </w:rPr>
        <w:t xml:space="preserve"> </w:t>
      </w:r>
      <w:proofErr w:type="spellStart"/>
      <w:r w:rsidRPr="00324225">
        <w:rPr>
          <w:i/>
          <w:iCs/>
          <w:lang w:val="en-US"/>
        </w:rPr>
        <w:t>ovis</w:t>
      </w:r>
      <w:proofErr w:type="spellEnd"/>
      <w:r w:rsidRPr="00324225">
        <w:rPr>
          <w:lang w:val="en-US"/>
        </w:rPr>
        <w:t xml:space="preserve"> — emerging pathogens in the German sheep population. </w:t>
      </w:r>
      <w:proofErr w:type="spellStart"/>
      <w:r w:rsidRPr="004472F4">
        <w:rPr>
          <w:i/>
          <w:iCs/>
        </w:rPr>
        <w:t>Pathogens</w:t>
      </w:r>
      <w:proofErr w:type="spellEnd"/>
      <w:r w:rsidRPr="004472F4">
        <w:t>, 10(10), 1298.</w:t>
      </w:r>
    </w:p>
    <w:p w14:paraId="31F8DE8B" w14:textId="77777777" w:rsidR="004472F4" w:rsidRPr="004472F4" w:rsidRDefault="004472F4" w:rsidP="004472F4">
      <w:pPr>
        <w:spacing w:after="60"/>
        <w:jc w:val="both"/>
      </w:pPr>
    </w:p>
    <w:p w14:paraId="0BBC370F" w14:textId="77777777" w:rsidR="004472F4" w:rsidRPr="004472F4" w:rsidRDefault="004472F4" w:rsidP="004472F4">
      <w:pPr>
        <w:spacing w:after="60"/>
        <w:jc w:val="both"/>
      </w:pPr>
      <w:r w:rsidRPr="004472F4">
        <w:rPr>
          <w:b/>
          <w:bCs/>
        </w:rPr>
        <w:t xml:space="preserve">Body M., </w:t>
      </w:r>
      <w:proofErr w:type="spellStart"/>
      <w:r w:rsidRPr="004472F4">
        <w:rPr>
          <w:b/>
          <w:bCs/>
        </w:rPr>
        <w:t>Beaudeau</w:t>
      </w:r>
      <w:proofErr w:type="spellEnd"/>
      <w:r w:rsidRPr="004472F4">
        <w:rPr>
          <w:b/>
          <w:bCs/>
        </w:rPr>
        <w:t xml:space="preserve"> F., </w:t>
      </w:r>
      <w:proofErr w:type="spellStart"/>
      <w:r w:rsidRPr="004472F4">
        <w:rPr>
          <w:b/>
          <w:bCs/>
        </w:rPr>
        <w:t>Poirel</w:t>
      </w:r>
      <w:proofErr w:type="spellEnd"/>
      <w:r w:rsidRPr="004472F4">
        <w:rPr>
          <w:b/>
          <w:bCs/>
        </w:rPr>
        <w:t xml:space="preserve"> M. T., Seegers H., Malandrin L.</w:t>
      </w:r>
      <w:r w:rsidRPr="004472F4">
        <w:t xml:space="preserve">, 2016. La fièvre Q en élevage bovin : épidémiologie et stratégies de maîtrise. </w:t>
      </w:r>
      <w:r w:rsidRPr="004472F4">
        <w:rPr>
          <w:i/>
          <w:iCs/>
        </w:rPr>
        <w:t>Bulletin des GTV</w:t>
      </w:r>
      <w:r w:rsidRPr="004472F4">
        <w:t>, n° spécial maladies vectorielles, 65-74.</w:t>
      </w:r>
    </w:p>
    <w:p w14:paraId="4E990095" w14:textId="77777777" w:rsidR="004472F4" w:rsidRDefault="004472F4" w:rsidP="004472F4">
      <w:pPr>
        <w:spacing w:after="60"/>
        <w:jc w:val="both"/>
      </w:pPr>
      <w:r w:rsidRPr="004472F4">
        <w:rPr>
          <w:b/>
          <w:bCs/>
        </w:rPr>
        <w:t xml:space="preserve">Boyard C., </w:t>
      </w:r>
      <w:proofErr w:type="spellStart"/>
      <w:r w:rsidRPr="004472F4">
        <w:rPr>
          <w:b/>
          <w:bCs/>
        </w:rPr>
        <w:t>Barnouin</w:t>
      </w:r>
      <w:proofErr w:type="spellEnd"/>
      <w:r w:rsidRPr="004472F4">
        <w:rPr>
          <w:b/>
          <w:bCs/>
        </w:rPr>
        <w:t xml:space="preserve"> J., Gasqui P., </w:t>
      </w:r>
      <w:proofErr w:type="spellStart"/>
      <w:r w:rsidRPr="004472F4">
        <w:rPr>
          <w:b/>
          <w:bCs/>
        </w:rPr>
        <w:t>Vourc'h</w:t>
      </w:r>
      <w:proofErr w:type="spellEnd"/>
      <w:r w:rsidRPr="004472F4">
        <w:rPr>
          <w:b/>
          <w:bCs/>
        </w:rPr>
        <w:t xml:space="preserve"> G.</w:t>
      </w:r>
      <w:r w:rsidRPr="004472F4">
        <w:t xml:space="preserve">, 2008. </w:t>
      </w:r>
      <w:r w:rsidRPr="00324225">
        <w:rPr>
          <w:lang w:val="en-US"/>
        </w:rPr>
        <w:t xml:space="preserve">Local environmental factors characterizing </w:t>
      </w:r>
      <w:r w:rsidRPr="00324225">
        <w:rPr>
          <w:i/>
          <w:iCs/>
          <w:lang w:val="en-US"/>
        </w:rPr>
        <w:t xml:space="preserve">Ixodes </w:t>
      </w:r>
      <w:proofErr w:type="spellStart"/>
      <w:r w:rsidRPr="00324225">
        <w:rPr>
          <w:i/>
          <w:iCs/>
          <w:lang w:val="en-US"/>
        </w:rPr>
        <w:t>ricinus</w:t>
      </w:r>
      <w:proofErr w:type="spellEnd"/>
      <w:r w:rsidRPr="00324225">
        <w:rPr>
          <w:lang w:val="en-US"/>
        </w:rPr>
        <w:t xml:space="preserve"> nymph abundance in grazed permanent pastures for cattle. </w:t>
      </w:r>
      <w:proofErr w:type="spellStart"/>
      <w:r w:rsidRPr="004472F4">
        <w:rPr>
          <w:i/>
          <w:iCs/>
        </w:rPr>
        <w:t>Parasitology</w:t>
      </w:r>
      <w:proofErr w:type="spellEnd"/>
      <w:r w:rsidRPr="004472F4">
        <w:t>, 135(14), 1697-1706.</w:t>
      </w:r>
    </w:p>
    <w:p w14:paraId="0D70FBB5" w14:textId="77777777" w:rsidR="004472F4" w:rsidRPr="004472F4" w:rsidRDefault="004472F4" w:rsidP="004472F4">
      <w:pPr>
        <w:spacing w:after="60"/>
        <w:jc w:val="both"/>
      </w:pPr>
    </w:p>
    <w:p w14:paraId="5EB82E91" w14:textId="77777777" w:rsidR="004472F4" w:rsidRDefault="004472F4" w:rsidP="004472F4">
      <w:pPr>
        <w:spacing w:after="60"/>
        <w:jc w:val="both"/>
      </w:pPr>
      <w:proofErr w:type="spellStart"/>
      <w:r w:rsidRPr="004472F4">
        <w:rPr>
          <w:b/>
          <w:bCs/>
        </w:rPr>
        <w:t>CiTIQUE</w:t>
      </w:r>
      <w:proofErr w:type="spellEnd"/>
      <w:r w:rsidRPr="004472F4">
        <w:t>, 2025. Bilan 2017-2024 du signalement participatif des piqûres de tiques en France. INRAE Grand Est, Nancy.</w:t>
      </w:r>
    </w:p>
    <w:p w14:paraId="1D39CABD" w14:textId="77777777" w:rsidR="004472F4" w:rsidRPr="004472F4" w:rsidRDefault="004472F4" w:rsidP="004472F4">
      <w:pPr>
        <w:spacing w:after="60"/>
        <w:jc w:val="both"/>
      </w:pPr>
    </w:p>
    <w:p w14:paraId="5ADF53BB" w14:textId="77777777" w:rsidR="004472F4" w:rsidRDefault="004472F4" w:rsidP="004472F4">
      <w:pPr>
        <w:spacing w:after="60"/>
        <w:jc w:val="both"/>
      </w:pPr>
      <w:r w:rsidRPr="00324225">
        <w:rPr>
          <w:b/>
          <w:bCs/>
          <w:lang w:val="en-US"/>
        </w:rPr>
        <w:lastRenderedPageBreak/>
        <w:t xml:space="preserve">Estrada-Peña A., </w:t>
      </w:r>
      <w:proofErr w:type="spellStart"/>
      <w:r w:rsidRPr="00324225">
        <w:rPr>
          <w:b/>
          <w:bCs/>
          <w:lang w:val="en-US"/>
        </w:rPr>
        <w:t>Mihalca</w:t>
      </w:r>
      <w:proofErr w:type="spellEnd"/>
      <w:r w:rsidRPr="00324225">
        <w:rPr>
          <w:b/>
          <w:bCs/>
          <w:lang w:val="en-US"/>
        </w:rPr>
        <w:t xml:space="preserve"> A. D., </w:t>
      </w:r>
      <w:proofErr w:type="spellStart"/>
      <w:r w:rsidRPr="00324225">
        <w:rPr>
          <w:b/>
          <w:bCs/>
          <w:lang w:val="en-US"/>
        </w:rPr>
        <w:t>Petney</w:t>
      </w:r>
      <w:proofErr w:type="spellEnd"/>
      <w:r w:rsidRPr="00324225">
        <w:rPr>
          <w:b/>
          <w:bCs/>
          <w:lang w:val="en-US"/>
        </w:rPr>
        <w:t xml:space="preserve"> T. N.</w:t>
      </w:r>
      <w:r w:rsidRPr="00324225">
        <w:rPr>
          <w:lang w:val="en-US"/>
        </w:rPr>
        <w:t xml:space="preserve"> (Eds.), 2017. </w:t>
      </w:r>
      <w:r w:rsidRPr="00324225">
        <w:rPr>
          <w:i/>
          <w:iCs/>
          <w:lang w:val="en-US"/>
        </w:rPr>
        <w:t>Ticks of Europe and North Africa: A Guide to Species Identification</w:t>
      </w:r>
      <w:r w:rsidRPr="00324225">
        <w:rPr>
          <w:lang w:val="en-US"/>
        </w:rPr>
        <w:t xml:space="preserve">. </w:t>
      </w:r>
      <w:r w:rsidRPr="004472F4">
        <w:t xml:space="preserve">Springer International </w:t>
      </w:r>
      <w:proofErr w:type="spellStart"/>
      <w:r w:rsidRPr="004472F4">
        <w:t>Publishing</w:t>
      </w:r>
      <w:proofErr w:type="spellEnd"/>
      <w:r w:rsidRPr="004472F4">
        <w:t>, Cham.</w:t>
      </w:r>
    </w:p>
    <w:p w14:paraId="643EE2CA" w14:textId="77777777" w:rsidR="004472F4" w:rsidRPr="004472F4" w:rsidRDefault="004472F4" w:rsidP="004472F4">
      <w:pPr>
        <w:spacing w:after="60"/>
        <w:jc w:val="both"/>
      </w:pPr>
    </w:p>
    <w:p w14:paraId="449C0BB8" w14:textId="77777777" w:rsidR="004472F4" w:rsidRPr="00324225" w:rsidRDefault="004472F4" w:rsidP="004472F4">
      <w:pPr>
        <w:spacing w:after="60"/>
        <w:jc w:val="both"/>
        <w:rPr>
          <w:lang w:val="en-US"/>
        </w:rPr>
      </w:pPr>
      <w:r w:rsidRPr="00324225">
        <w:rPr>
          <w:b/>
          <w:bCs/>
          <w:lang w:val="en-US"/>
        </w:rPr>
        <w:t>Krupka I., Straubinger R. K.</w:t>
      </w:r>
      <w:r w:rsidRPr="00324225">
        <w:rPr>
          <w:lang w:val="en-US"/>
        </w:rPr>
        <w:t xml:space="preserve">, 2010. Lyme borreliosis in dogs and cats: background, diagnosis, treatment and prevention of infections with </w:t>
      </w:r>
      <w:r w:rsidRPr="00324225">
        <w:rPr>
          <w:i/>
          <w:iCs/>
          <w:lang w:val="en-US"/>
        </w:rPr>
        <w:t>Borrelia burgdorferi</w:t>
      </w:r>
      <w:r w:rsidRPr="00324225">
        <w:rPr>
          <w:lang w:val="en-US"/>
        </w:rPr>
        <w:t xml:space="preserve"> sensu stricto. </w:t>
      </w:r>
      <w:r w:rsidRPr="00324225">
        <w:rPr>
          <w:i/>
          <w:iCs/>
          <w:lang w:val="en-US"/>
        </w:rPr>
        <w:t>Veterinary Clinics of North America: Small Animal Practice</w:t>
      </w:r>
      <w:r w:rsidRPr="00324225">
        <w:rPr>
          <w:lang w:val="en-US"/>
        </w:rPr>
        <w:t>, 40(6), 1103-1119.</w:t>
      </w:r>
    </w:p>
    <w:p w14:paraId="20DAEE26" w14:textId="77777777" w:rsidR="004472F4" w:rsidRPr="00324225" w:rsidRDefault="004472F4" w:rsidP="004472F4">
      <w:pPr>
        <w:spacing w:after="60"/>
        <w:jc w:val="both"/>
        <w:rPr>
          <w:lang w:val="en-US"/>
        </w:rPr>
      </w:pPr>
    </w:p>
    <w:p w14:paraId="317A6311" w14:textId="77777777" w:rsidR="004472F4" w:rsidRPr="00324225" w:rsidRDefault="004472F4" w:rsidP="004472F4">
      <w:pPr>
        <w:spacing w:after="60"/>
        <w:jc w:val="both"/>
        <w:rPr>
          <w:lang w:val="en-US"/>
        </w:rPr>
      </w:pPr>
      <w:r w:rsidRPr="00324225">
        <w:rPr>
          <w:b/>
          <w:bCs/>
          <w:lang w:val="en-US"/>
        </w:rPr>
        <w:t xml:space="preserve">Medlock J. M., Hansford K. M., </w:t>
      </w:r>
      <w:proofErr w:type="spellStart"/>
      <w:r w:rsidRPr="00324225">
        <w:rPr>
          <w:b/>
          <w:bCs/>
          <w:lang w:val="en-US"/>
        </w:rPr>
        <w:t>Bormane</w:t>
      </w:r>
      <w:proofErr w:type="spellEnd"/>
      <w:r w:rsidRPr="00324225">
        <w:rPr>
          <w:b/>
          <w:bCs/>
          <w:lang w:val="en-US"/>
        </w:rPr>
        <w:t xml:space="preserve"> A., </w:t>
      </w:r>
      <w:proofErr w:type="spellStart"/>
      <w:r w:rsidRPr="00324225">
        <w:rPr>
          <w:b/>
          <w:bCs/>
          <w:lang w:val="en-US"/>
        </w:rPr>
        <w:t>Derdakova</w:t>
      </w:r>
      <w:proofErr w:type="spellEnd"/>
      <w:r w:rsidRPr="00324225">
        <w:rPr>
          <w:b/>
          <w:bCs/>
          <w:lang w:val="en-US"/>
        </w:rPr>
        <w:t xml:space="preserve"> M., Estrada-Peña A.</w:t>
      </w:r>
      <w:r w:rsidRPr="00324225">
        <w:rPr>
          <w:lang w:val="en-US"/>
        </w:rPr>
        <w:t xml:space="preserve"> </w:t>
      </w:r>
      <w:r w:rsidRPr="00324225">
        <w:rPr>
          <w:i/>
          <w:iCs/>
          <w:lang w:val="en-US"/>
        </w:rPr>
        <w:t>et al.</w:t>
      </w:r>
      <w:r w:rsidRPr="00324225">
        <w:rPr>
          <w:lang w:val="en-US"/>
        </w:rPr>
        <w:t xml:space="preserve">, 2013. Driving forces for changes in geographical distribution of </w:t>
      </w:r>
      <w:r w:rsidRPr="00324225">
        <w:rPr>
          <w:i/>
          <w:iCs/>
          <w:lang w:val="en-US"/>
        </w:rPr>
        <w:t xml:space="preserve">Ixodes </w:t>
      </w:r>
      <w:proofErr w:type="spellStart"/>
      <w:r w:rsidRPr="00324225">
        <w:rPr>
          <w:i/>
          <w:iCs/>
          <w:lang w:val="en-US"/>
        </w:rPr>
        <w:t>ricinus</w:t>
      </w:r>
      <w:proofErr w:type="spellEnd"/>
      <w:r w:rsidRPr="00324225">
        <w:rPr>
          <w:lang w:val="en-US"/>
        </w:rPr>
        <w:t xml:space="preserve"> ticks in Europe. </w:t>
      </w:r>
      <w:r w:rsidRPr="00324225">
        <w:rPr>
          <w:i/>
          <w:iCs/>
          <w:lang w:val="en-US"/>
        </w:rPr>
        <w:t>Parasites &amp; Vectors</w:t>
      </w:r>
      <w:r w:rsidRPr="00324225">
        <w:rPr>
          <w:lang w:val="en-US"/>
        </w:rPr>
        <w:t>, 6, 1.</w:t>
      </w:r>
    </w:p>
    <w:p w14:paraId="2D1CB6C9" w14:textId="77777777" w:rsidR="004472F4" w:rsidRPr="00324225" w:rsidRDefault="004472F4" w:rsidP="004472F4">
      <w:pPr>
        <w:spacing w:after="60"/>
        <w:jc w:val="both"/>
        <w:rPr>
          <w:lang w:val="en-US"/>
        </w:rPr>
      </w:pPr>
    </w:p>
    <w:p w14:paraId="3F37591E" w14:textId="77777777" w:rsidR="004472F4" w:rsidRPr="00324225" w:rsidRDefault="004472F4" w:rsidP="004472F4">
      <w:pPr>
        <w:spacing w:after="60"/>
        <w:jc w:val="both"/>
        <w:rPr>
          <w:lang w:val="en-US"/>
        </w:rPr>
      </w:pPr>
      <w:r w:rsidRPr="00324225">
        <w:rPr>
          <w:b/>
          <w:bCs/>
          <w:lang w:val="en-US"/>
        </w:rPr>
        <w:t xml:space="preserve">Michelet L., Delannoy S., </w:t>
      </w:r>
      <w:proofErr w:type="spellStart"/>
      <w:r w:rsidRPr="00324225">
        <w:rPr>
          <w:b/>
          <w:bCs/>
          <w:lang w:val="en-US"/>
        </w:rPr>
        <w:t>Devillers</w:t>
      </w:r>
      <w:proofErr w:type="spellEnd"/>
      <w:r w:rsidRPr="00324225">
        <w:rPr>
          <w:b/>
          <w:bCs/>
          <w:lang w:val="en-US"/>
        </w:rPr>
        <w:t xml:space="preserve"> E., </w:t>
      </w:r>
      <w:proofErr w:type="spellStart"/>
      <w:r w:rsidRPr="00324225">
        <w:rPr>
          <w:b/>
          <w:bCs/>
          <w:lang w:val="en-US"/>
        </w:rPr>
        <w:t>Umhang</w:t>
      </w:r>
      <w:proofErr w:type="spellEnd"/>
      <w:r w:rsidRPr="00324225">
        <w:rPr>
          <w:b/>
          <w:bCs/>
          <w:lang w:val="en-US"/>
        </w:rPr>
        <w:t xml:space="preserve"> G., Aspan A., </w:t>
      </w:r>
      <w:proofErr w:type="spellStart"/>
      <w:r w:rsidRPr="00324225">
        <w:rPr>
          <w:b/>
          <w:bCs/>
          <w:lang w:val="en-US"/>
        </w:rPr>
        <w:t>Juremalm</w:t>
      </w:r>
      <w:proofErr w:type="spellEnd"/>
      <w:r w:rsidRPr="00324225">
        <w:rPr>
          <w:b/>
          <w:bCs/>
          <w:lang w:val="en-US"/>
        </w:rPr>
        <w:t xml:space="preserve"> M., Chirico J., Van der Wal F. J., Sprong H., Boye Pihl T. P., Klitgaard K., Bødker R., Fach P., </w:t>
      </w:r>
      <w:proofErr w:type="spellStart"/>
      <w:r w:rsidRPr="00324225">
        <w:rPr>
          <w:b/>
          <w:bCs/>
          <w:lang w:val="en-US"/>
        </w:rPr>
        <w:t>Moutailler</w:t>
      </w:r>
      <w:proofErr w:type="spellEnd"/>
      <w:r w:rsidRPr="00324225">
        <w:rPr>
          <w:b/>
          <w:bCs/>
          <w:lang w:val="en-US"/>
        </w:rPr>
        <w:t xml:space="preserve"> S.</w:t>
      </w:r>
      <w:r w:rsidRPr="00324225">
        <w:rPr>
          <w:lang w:val="en-US"/>
        </w:rPr>
        <w:t xml:space="preserve">, 2014. High-throughput screening of tick-borne pathogens in Europe. </w:t>
      </w:r>
      <w:r w:rsidRPr="00324225">
        <w:rPr>
          <w:i/>
          <w:iCs/>
          <w:lang w:val="en-US"/>
        </w:rPr>
        <w:t>Frontiers in Cellular and Infection Microbiology</w:t>
      </w:r>
      <w:r w:rsidRPr="00324225">
        <w:rPr>
          <w:lang w:val="en-US"/>
        </w:rPr>
        <w:t>, 4, 103.</w:t>
      </w:r>
    </w:p>
    <w:p w14:paraId="3EB45370" w14:textId="77777777" w:rsidR="004472F4" w:rsidRPr="00324225" w:rsidRDefault="004472F4" w:rsidP="004472F4">
      <w:pPr>
        <w:spacing w:after="60"/>
        <w:jc w:val="both"/>
        <w:rPr>
          <w:lang w:val="en-US"/>
        </w:rPr>
      </w:pPr>
    </w:p>
    <w:p w14:paraId="4962BADA" w14:textId="77777777" w:rsidR="004472F4" w:rsidRDefault="004472F4" w:rsidP="004472F4">
      <w:pPr>
        <w:spacing w:after="60"/>
        <w:jc w:val="both"/>
      </w:pPr>
      <w:proofErr w:type="spellStart"/>
      <w:r w:rsidRPr="004472F4">
        <w:rPr>
          <w:b/>
          <w:bCs/>
        </w:rPr>
        <w:t>Moutailler</w:t>
      </w:r>
      <w:proofErr w:type="spellEnd"/>
      <w:r w:rsidRPr="004472F4">
        <w:rPr>
          <w:b/>
          <w:bCs/>
        </w:rPr>
        <w:t xml:space="preserve"> S., Valiente Moro C., </w:t>
      </w:r>
      <w:proofErr w:type="spellStart"/>
      <w:r w:rsidRPr="004472F4">
        <w:rPr>
          <w:b/>
          <w:bCs/>
        </w:rPr>
        <w:t>Vaumourin</w:t>
      </w:r>
      <w:proofErr w:type="spellEnd"/>
      <w:r w:rsidRPr="004472F4">
        <w:rPr>
          <w:b/>
          <w:bCs/>
        </w:rPr>
        <w:t xml:space="preserve"> E., Michelet L., </w:t>
      </w:r>
      <w:proofErr w:type="spellStart"/>
      <w:r w:rsidRPr="004472F4">
        <w:rPr>
          <w:b/>
          <w:bCs/>
        </w:rPr>
        <w:t>Tran</w:t>
      </w:r>
      <w:proofErr w:type="spellEnd"/>
      <w:r w:rsidRPr="004472F4">
        <w:rPr>
          <w:b/>
          <w:bCs/>
        </w:rPr>
        <w:t xml:space="preserve"> F. H., Devillers E., Cosson J. F., Gasqui P., Van V. T., </w:t>
      </w:r>
      <w:proofErr w:type="spellStart"/>
      <w:r w:rsidRPr="004472F4">
        <w:rPr>
          <w:b/>
          <w:bCs/>
        </w:rPr>
        <w:t>Mavingui</w:t>
      </w:r>
      <w:proofErr w:type="spellEnd"/>
      <w:r w:rsidRPr="004472F4">
        <w:rPr>
          <w:b/>
          <w:bCs/>
        </w:rPr>
        <w:t xml:space="preserve"> P., </w:t>
      </w:r>
      <w:proofErr w:type="spellStart"/>
      <w:r w:rsidRPr="004472F4">
        <w:rPr>
          <w:b/>
          <w:bCs/>
        </w:rPr>
        <w:t>Vourc'h</w:t>
      </w:r>
      <w:proofErr w:type="spellEnd"/>
      <w:r w:rsidRPr="004472F4">
        <w:rPr>
          <w:b/>
          <w:bCs/>
        </w:rPr>
        <w:t xml:space="preserve"> G., </w:t>
      </w:r>
      <w:proofErr w:type="spellStart"/>
      <w:r w:rsidRPr="004472F4">
        <w:rPr>
          <w:b/>
          <w:bCs/>
        </w:rPr>
        <w:t>Vayssier-Taussat</w:t>
      </w:r>
      <w:proofErr w:type="spellEnd"/>
      <w:r w:rsidRPr="004472F4">
        <w:rPr>
          <w:b/>
          <w:bCs/>
        </w:rPr>
        <w:t xml:space="preserve"> M.</w:t>
      </w:r>
      <w:r w:rsidRPr="004472F4">
        <w:t xml:space="preserve">, 2016. </w:t>
      </w:r>
      <w:r w:rsidRPr="00324225">
        <w:rPr>
          <w:lang w:val="en-US"/>
        </w:rPr>
        <w:t xml:space="preserve">Co-infection of ticks: the rule rather than the exception. </w:t>
      </w:r>
      <w:r w:rsidRPr="004472F4">
        <w:rPr>
          <w:i/>
          <w:iCs/>
        </w:rPr>
        <w:t xml:space="preserve">PLOS </w:t>
      </w:r>
      <w:proofErr w:type="spellStart"/>
      <w:r w:rsidRPr="004472F4">
        <w:rPr>
          <w:i/>
          <w:iCs/>
        </w:rPr>
        <w:t>Neglected</w:t>
      </w:r>
      <w:proofErr w:type="spellEnd"/>
      <w:r w:rsidRPr="004472F4">
        <w:rPr>
          <w:i/>
          <w:iCs/>
        </w:rPr>
        <w:t xml:space="preserve"> Tropical </w:t>
      </w:r>
      <w:proofErr w:type="spellStart"/>
      <w:r w:rsidRPr="004472F4">
        <w:rPr>
          <w:i/>
          <w:iCs/>
        </w:rPr>
        <w:t>Diseases</w:t>
      </w:r>
      <w:proofErr w:type="spellEnd"/>
      <w:r w:rsidRPr="004472F4">
        <w:t>, 10(3), e0004539.</w:t>
      </w:r>
    </w:p>
    <w:p w14:paraId="21605929" w14:textId="77777777" w:rsidR="004472F4" w:rsidRPr="004472F4" w:rsidRDefault="004472F4" w:rsidP="004472F4">
      <w:pPr>
        <w:spacing w:after="60"/>
        <w:jc w:val="both"/>
      </w:pPr>
    </w:p>
    <w:p w14:paraId="6BA706B3" w14:textId="77777777" w:rsidR="004472F4" w:rsidRPr="00324225" w:rsidRDefault="004472F4" w:rsidP="004472F4">
      <w:pPr>
        <w:spacing w:after="60"/>
        <w:jc w:val="both"/>
        <w:rPr>
          <w:lang w:val="en-US"/>
        </w:rPr>
      </w:pPr>
      <w:r w:rsidRPr="00324225">
        <w:rPr>
          <w:b/>
          <w:bCs/>
          <w:lang w:val="en-US"/>
        </w:rPr>
        <w:t>Ogden N. H., Lindsay L. R.</w:t>
      </w:r>
      <w:r w:rsidRPr="00324225">
        <w:rPr>
          <w:lang w:val="en-US"/>
        </w:rPr>
        <w:t xml:space="preserve">, 2016. Effects of climate and climate change on vectors and vector-borne diseases: ticks are different. </w:t>
      </w:r>
      <w:r w:rsidRPr="00324225">
        <w:rPr>
          <w:i/>
          <w:iCs/>
          <w:lang w:val="en-US"/>
        </w:rPr>
        <w:t>Trends in Parasitology</w:t>
      </w:r>
      <w:r w:rsidRPr="00324225">
        <w:rPr>
          <w:lang w:val="en-US"/>
        </w:rPr>
        <w:t>, 32(8), 646-656.</w:t>
      </w:r>
    </w:p>
    <w:p w14:paraId="7EB11564" w14:textId="77777777" w:rsidR="004472F4" w:rsidRPr="00324225" w:rsidRDefault="004472F4" w:rsidP="004472F4">
      <w:pPr>
        <w:spacing w:after="60"/>
        <w:jc w:val="both"/>
        <w:rPr>
          <w:lang w:val="en-US"/>
        </w:rPr>
      </w:pPr>
    </w:p>
    <w:p w14:paraId="01B8E223" w14:textId="77777777" w:rsidR="004472F4" w:rsidRDefault="004472F4" w:rsidP="004472F4">
      <w:pPr>
        <w:spacing w:after="60"/>
        <w:jc w:val="both"/>
      </w:pPr>
      <w:proofErr w:type="spellStart"/>
      <w:r w:rsidRPr="00324225">
        <w:rPr>
          <w:b/>
          <w:bCs/>
          <w:lang w:val="en-US"/>
        </w:rPr>
        <w:t>Pusterla</w:t>
      </w:r>
      <w:proofErr w:type="spellEnd"/>
      <w:r w:rsidRPr="00324225">
        <w:rPr>
          <w:b/>
          <w:bCs/>
          <w:lang w:val="en-US"/>
        </w:rPr>
        <w:t xml:space="preserve"> N., </w:t>
      </w:r>
      <w:proofErr w:type="spellStart"/>
      <w:r w:rsidRPr="00324225">
        <w:rPr>
          <w:b/>
          <w:bCs/>
          <w:lang w:val="en-US"/>
        </w:rPr>
        <w:t>Huder</w:t>
      </w:r>
      <w:proofErr w:type="spellEnd"/>
      <w:r w:rsidRPr="00324225">
        <w:rPr>
          <w:b/>
          <w:bCs/>
          <w:lang w:val="en-US"/>
        </w:rPr>
        <w:t xml:space="preserve"> J., Wolfensberger C., </w:t>
      </w:r>
      <w:proofErr w:type="spellStart"/>
      <w:r w:rsidRPr="00324225">
        <w:rPr>
          <w:b/>
          <w:bCs/>
          <w:lang w:val="en-US"/>
        </w:rPr>
        <w:t>Litschi</w:t>
      </w:r>
      <w:proofErr w:type="spellEnd"/>
      <w:r w:rsidRPr="00324225">
        <w:rPr>
          <w:b/>
          <w:bCs/>
          <w:lang w:val="en-US"/>
        </w:rPr>
        <w:t xml:space="preserve"> B., Parvis A., Lutz H.</w:t>
      </w:r>
      <w:r w:rsidRPr="00324225">
        <w:rPr>
          <w:lang w:val="en-US"/>
        </w:rPr>
        <w:t xml:space="preserve">, 1998. Granulocytic ehrlichiosis in two dogs in Switzerland. </w:t>
      </w:r>
      <w:r w:rsidRPr="004472F4">
        <w:rPr>
          <w:i/>
          <w:iCs/>
        </w:rPr>
        <w:t xml:space="preserve">Journal of </w:t>
      </w:r>
      <w:proofErr w:type="spellStart"/>
      <w:r w:rsidRPr="004472F4">
        <w:rPr>
          <w:i/>
          <w:iCs/>
        </w:rPr>
        <w:t>Clinical</w:t>
      </w:r>
      <w:proofErr w:type="spellEnd"/>
      <w:r w:rsidRPr="004472F4">
        <w:rPr>
          <w:i/>
          <w:iCs/>
        </w:rPr>
        <w:t xml:space="preserve"> </w:t>
      </w:r>
      <w:proofErr w:type="spellStart"/>
      <w:r w:rsidRPr="004472F4">
        <w:rPr>
          <w:i/>
          <w:iCs/>
        </w:rPr>
        <w:t>Microbiology</w:t>
      </w:r>
      <w:proofErr w:type="spellEnd"/>
      <w:r w:rsidRPr="004472F4">
        <w:t>, 36(7), 2054-2057.</w:t>
      </w:r>
    </w:p>
    <w:p w14:paraId="7A1EF4AB" w14:textId="77777777" w:rsidR="004472F4" w:rsidRPr="004472F4" w:rsidRDefault="004472F4" w:rsidP="004472F4">
      <w:pPr>
        <w:spacing w:after="60"/>
        <w:jc w:val="both"/>
      </w:pPr>
    </w:p>
    <w:p w14:paraId="2CC81BC7" w14:textId="77777777" w:rsidR="004472F4" w:rsidRPr="00324225" w:rsidRDefault="004472F4" w:rsidP="004472F4">
      <w:pPr>
        <w:spacing w:after="60"/>
        <w:jc w:val="both"/>
        <w:rPr>
          <w:lang w:val="en-US"/>
        </w:rPr>
      </w:pPr>
      <w:r w:rsidRPr="004472F4">
        <w:rPr>
          <w:b/>
          <w:bCs/>
        </w:rPr>
        <w:t xml:space="preserve">Rizzoli A., Silaghi C., </w:t>
      </w:r>
      <w:proofErr w:type="spellStart"/>
      <w:r w:rsidRPr="004472F4">
        <w:rPr>
          <w:b/>
          <w:bCs/>
        </w:rPr>
        <w:t>Obiegala</w:t>
      </w:r>
      <w:proofErr w:type="spellEnd"/>
      <w:r w:rsidRPr="004472F4">
        <w:rPr>
          <w:b/>
          <w:bCs/>
        </w:rPr>
        <w:t xml:space="preserve"> A., Rudolf I., Hubálek Z., Földvári G., Plantard O., </w:t>
      </w:r>
      <w:proofErr w:type="spellStart"/>
      <w:r w:rsidRPr="004472F4">
        <w:rPr>
          <w:b/>
          <w:bCs/>
        </w:rPr>
        <w:t>Vayssier-Taussat</w:t>
      </w:r>
      <w:proofErr w:type="spellEnd"/>
      <w:r w:rsidRPr="004472F4">
        <w:rPr>
          <w:b/>
          <w:bCs/>
        </w:rPr>
        <w:t xml:space="preserve"> M., Bonnet S., </w:t>
      </w:r>
      <w:proofErr w:type="spellStart"/>
      <w:r w:rsidRPr="004472F4">
        <w:rPr>
          <w:b/>
          <w:bCs/>
        </w:rPr>
        <w:t>Spitalská</w:t>
      </w:r>
      <w:proofErr w:type="spellEnd"/>
      <w:r w:rsidRPr="004472F4">
        <w:rPr>
          <w:b/>
          <w:bCs/>
        </w:rPr>
        <w:t xml:space="preserve"> E., </w:t>
      </w:r>
      <w:proofErr w:type="spellStart"/>
      <w:r w:rsidRPr="004472F4">
        <w:rPr>
          <w:b/>
          <w:bCs/>
        </w:rPr>
        <w:t>Kazimírová</w:t>
      </w:r>
      <w:proofErr w:type="spellEnd"/>
      <w:r w:rsidRPr="004472F4">
        <w:rPr>
          <w:b/>
          <w:bCs/>
        </w:rPr>
        <w:t xml:space="preserve"> M.</w:t>
      </w:r>
      <w:r w:rsidRPr="004472F4">
        <w:t xml:space="preserve">, 2014. </w:t>
      </w:r>
      <w:r w:rsidRPr="00324225">
        <w:rPr>
          <w:i/>
          <w:iCs/>
          <w:lang w:val="en-US"/>
        </w:rPr>
        <w:t xml:space="preserve">Ixodes </w:t>
      </w:r>
      <w:proofErr w:type="spellStart"/>
      <w:r w:rsidRPr="00324225">
        <w:rPr>
          <w:i/>
          <w:iCs/>
          <w:lang w:val="en-US"/>
        </w:rPr>
        <w:t>ricinus</w:t>
      </w:r>
      <w:proofErr w:type="spellEnd"/>
      <w:r w:rsidRPr="00324225">
        <w:rPr>
          <w:lang w:val="en-US"/>
        </w:rPr>
        <w:t xml:space="preserve"> and its transmitted pathogens in urban and peri-urban areas in Europe: new hazards and relevance for public health. </w:t>
      </w:r>
      <w:r w:rsidRPr="00324225">
        <w:rPr>
          <w:i/>
          <w:iCs/>
          <w:lang w:val="en-US"/>
        </w:rPr>
        <w:t>Frontiers in Public Health</w:t>
      </w:r>
      <w:r w:rsidRPr="00324225">
        <w:rPr>
          <w:lang w:val="en-US"/>
        </w:rPr>
        <w:t>, 2, 251.</w:t>
      </w:r>
    </w:p>
    <w:p w14:paraId="7A562CDD" w14:textId="77777777" w:rsidR="004472F4" w:rsidRPr="00324225" w:rsidRDefault="004472F4" w:rsidP="004472F4">
      <w:pPr>
        <w:spacing w:after="60"/>
        <w:jc w:val="both"/>
        <w:rPr>
          <w:lang w:val="en-US"/>
        </w:rPr>
      </w:pPr>
    </w:p>
    <w:p w14:paraId="13DE6A94" w14:textId="77777777" w:rsidR="004472F4" w:rsidRPr="00324225" w:rsidRDefault="004472F4" w:rsidP="004472F4">
      <w:pPr>
        <w:spacing w:after="60"/>
        <w:jc w:val="both"/>
        <w:rPr>
          <w:lang w:val="en-US"/>
        </w:rPr>
      </w:pPr>
      <w:r w:rsidRPr="00324225">
        <w:rPr>
          <w:b/>
          <w:bCs/>
          <w:lang w:val="en-US"/>
        </w:rPr>
        <w:t>Stanek G., Wormser G. P., Gray J., Strle F.</w:t>
      </w:r>
      <w:r w:rsidRPr="00324225">
        <w:rPr>
          <w:lang w:val="en-US"/>
        </w:rPr>
        <w:t xml:space="preserve">, 2012. Lyme borreliosis. </w:t>
      </w:r>
      <w:r w:rsidRPr="00324225">
        <w:rPr>
          <w:i/>
          <w:iCs/>
          <w:lang w:val="en-US"/>
        </w:rPr>
        <w:t>The Lancet</w:t>
      </w:r>
      <w:r w:rsidRPr="00324225">
        <w:rPr>
          <w:lang w:val="en-US"/>
        </w:rPr>
        <w:t>, 379(9814), 461-473.</w:t>
      </w:r>
    </w:p>
    <w:p w14:paraId="4FD2C943" w14:textId="77777777" w:rsidR="004472F4" w:rsidRPr="00324225" w:rsidRDefault="004472F4" w:rsidP="004472F4">
      <w:pPr>
        <w:spacing w:after="60"/>
        <w:jc w:val="both"/>
        <w:rPr>
          <w:lang w:val="en-US"/>
        </w:rPr>
      </w:pPr>
    </w:p>
    <w:p w14:paraId="56AB6C9B" w14:textId="77777777" w:rsidR="004472F4" w:rsidRDefault="004472F4" w:rsidP="004472F4">
      <w:pPr>
        <w:spacing w:after="60"/>
        <w:jc w:val="both"/>
      </w:pPr>
      <w:r w:rsidRPr="00324225">
        <w:rPr>
          <w:b/>
          <w:bCs/>
          <w:lang w:val="en-US"/>
        </w:rPr>
        <w:t>Stuen S., Granquist E. G., Silaghi C.</w:t>
      </w:r>
      <w:r w:rsidRPr="00324225">
        <w:rPr>
          <w:lang w:val="en-US"/>
        </w:rPr>
        <w:t xml:space="preserve">, 2013. </w:t>
      </w:r>
      <w:proofErr w:type="spellStart"/>
      <w:r w:rsidRPr="00324225">
        <w:rPr>
          <w:i/>
          <w:iCs/>
          <w:lang w:val="en-US"/>
        </w:rPr>
        <w:t>Anaplasma</w:t>
      </w:r>
      <w:proofErr w:type="spellEnd"/>
      <w:r w:rsidRPr="00324225">
        <w:rPr>
          <w:i/>
          <w:iCs/>
          <w:lang w:val="en-US"/>
        </w:rPr>
        <w:t xml:space="preserve"> </w:t>
      </w:r>
      <w:proofErr w:type="spellStart"/>
      <w:r w:rsidRPr="00324225">
        <w:rPr>
          <w:i/>
          <w:iCs/>
          <w:lang w:val="en-US"/>
        </w:rPr>
        <w:t>phagocytophilum</w:t>
      </w:r>
      <w:proofErr w:type="spellEnd"/>
      <w:r w:rsidRPr="00324225">
        <w:rPr>
          <w:lang w:val="en-US"/>
        </w:rPr>
        <w:t xml:space="preserve"> — a widespread multi-host pathogen with highly adaptive strategies. </w:t>
      </w:r>
      <w:proofErr w:type="spellStart"/>
      <w:r w:rsidRPr="004472F4">
        <w:rPr>
          <w:i/>
          <w:iCs/>
        </w:rPr>
        <w:t>Frontiers</w:t>
      </w:r>
      <w:proofErr w:type="spellEnd"/>
      <w:r w:rsidRPr="004472F4">
        <w:rPr>
          <w:i/>
          <w:iCs/>
        </w:rPr>
        <w:t xml:space="preserve"> in Cellular and Infection </w:t>
      </w:r>
      <w:proofErr w:type="spellStart"/>
      <w:r w:rsidRPr="004472F4">
        <w:rPr>
          <w:i/>
          <w:iCs/>
        </w:rPr>
        <w:t>Microbiology</w:t>
      </w:r>
      <w:proofErr w:type="spellEnd"/>
      <w:r w:rsidRPr="004472F4">
        <w:t>, 3, 31.</w:t>
      </w:r>
    </w:p>
    <w:p w14:paraId="1BA569ED" w14:textId="77777777" w:rsidR="004472F4" w:rsidRPr="004472F4" w:rsidRDefault="004472F4" w:rsidP="004472F4">
      <w:pPr>
        <w:spacing w:after="60"/>
        <w:jc w:val="both"/>
      </w:pPr>
    </w:p>
    <w:p w14:paraId="09726308" w14:textId="77777777" w:rsidR="004472F4" w:rsidRPr="00324225" w:rsidRDefault="004472F4" w:rsidP="004472F4">
      <w:pPr>
        <w:spacing w:after="60"/>
        <w:jc w:val="both"/>
        <w:rPr>
          <w:lang w:val="en-US"/>
        </w:rPr>
      </w:pPr>
      <w:r w:rsidRPr="004472F4">
        <w:rPr>
          <w:b/>
          <w:bCs/>
        </w:rPr>
        <w:t xml:space="preserve">Vassallo M., Pichon B., Cabaret J., </w:t>
      </w:r>
      <w:proofErr w:type="spellStart"/>
      <w:r w:rsidRPr="004472F4">
        <w:rPr>
          <w:b/>
          <w:bCs/>
        </w:rPr>
        <w:t>Figureau</w:t>
      </w:r>
      <w:proofErr w:type="spellEnd"/>
      <w:r w:rsidRPr="004472F4">
        <w:rPr>
          <w:b/>
          <w:bCs/>
        </w:rPr>
        <w:t xml:space="preserve"> C., Pérez-Eid C.</w:t>
      </w:r>
      <w:r w:rsidRPr="004472F4">
        <w:t xml:space="preserve">, 2000. </w:t>
      </w:r>
      <w:r w:rsidRPr="00324225">
        <w:rPr>
          <w:lang w:val="en-US"/>
        </w:rPr>
        <w:t xml:space="preserve">Methodology for sampling questing nymphs of </w:t>
      </w:r>
      <w:r w:rsidRPr="00324225">
        <w:rPr>
          <w:i/>
          <w:iCs/>
          <w:lang w:val="en-US"/>
        </w:rPr>
        <w:t xml:space="preserve">Ixodes </w:t>
      </w:r>
      <w:proofErr w:type="spellStart"/>
      <w:r w:rsidRPr="00324225">
        <w:rPr>
          <w:i/>
          <w:iCs/>
          <w:lang w:val="en-US"/>
        </w:rPr>
        <w:t>ricinus</w:t>
      </w:r>
      <w:proofErr w:type="spellEnd"/>
      <w:r w:rsidRPr="00324225">
        <w:rPr>
          <w:lang w:val="en-US"/>
        </w:rPr>
        <w:t xml:space="preserve"> (Acari: Ixodidae), the principal vector of Lyme disease in Europe. </w:t>
      </w:r>
      <w:r w:rsidRPr="00324225">
        <w:rPr>
          <w:i/>
          <w:iCs/>
          <w:lang w:val="en-US"/>
        </w:rPr>
        <w:t>Journal of Medical Entomology</w:t>
      </w:r>
      <w:r w:rsidRPr="00324225">
        <w:rPr>
          <w:lang w:val="en-US"/>
        </w:rPr>
        <w:t>, 37(3), 335-339.</w:t>
      </w:r>
    </w:p>
    <w:p w14:paraId="044DF2E4" w14:textId="77777777" w:rsidR="004472F4" w:rsidRPr="004472F4" w:rsidRDefault="004472F4" w:rsidP="004472F4">
      <w:pPr>
        <w:spacing w:after="60"/>
        <w:jc w:val="both"/>
      </w:pPr>
      <w:proofErr w:type="spellStart"/>
      <w:r w:rsidRPr="00324225">
        <w:rPr>
          <w:b/>
          <w:bCs/>
          <w:lang w:val="en-US"/>
        </w:rPr>
        <w:t>Woldehiwet</w:t>
      </w:r>
      <w:proofErr w:type="spellEnd"/>
      <w:r w:rsidRPr="00324225">
        <w:rPr>
          <w:b/>
          <w:bCs/>
          <w:lang w:val="en-US"/>
        </w:rPr>
        <w:t xml:space="preserve"> Z.</w:t>
      </w:r>
      <w:r w:rsidRPr="00324225">
        <w:rPr>
          <w:lang w:val="en-US"/>
        </w:rPr>
        <w:t xml:space="preserve">, 2010. The natural history of </w:t>
      </w:r>
      <w:proofErr w:type="spellStart"/>
      <w:r w:rsidRPr="00324225">
        <w:rPr>
          <w:i/>
          <w:iCs/>
          <w:lang w:val="en-US"/>
        </w:rPr>
        <w:t>Anaplasma</w:t>
      </w:r>
      <w:proofErr w:type="spellEnd"/>
      <w:r w:rsidRPr="00324225">
        <w:rPr>
          <w:i/>
          <w:iCs/>
          <w:lang w:val="en-US"/>
        </w:rPr>
        <w:t xml:space="preserve"> </w:t>
      </w:r>
      <w:proofErr w:type="spellStart"/>
      <w:r w:rsidRPr="00324225">
        <w:rPr>
          <w:i/>
          <w:iCs/>
          <w:lang w:val="en-US"/>
        </w:rPr>
        <w:t>phagocytophilum</w:t>
      </w:r>
      <w:proofErr w:type="spellEnd"/>
      <w:r w:rsidRPr="00324225">
        <w:rPr>
          <w:lang w:val="en-US"/>
        </w:rPr>
        <w:t xml:space="preserve">. </w:t>
      </w:r>
      <w:proofErr w:type="spellStart"/>
      <w:r w:rsidRPr="004472F4">
        <w:rPr>
          <w:i/>
          <w:iCs/>
        </w:rPr>
        <w:t>Veterinary</w:t>
      </w:r>
      <w:proofErr w:type="spellEnd"/>
      <w:r w:rsidRPr="004472F4">
        <w:rPr>
          <w:i/>
          <w:iCs/>
        </w:rPr>
        <w:t xml:space="preserve"> </w:t>
      </w:r>
      <w:proofErr w:type="spellStart"/>
      <w:r w:rsidRPr="004472F4">
        <w:rPr>
          <w:i/>
          <w:iCs/>
        </w:rPr>
        <w:t>Parasitology</w:t>
      </w:r>
      <w:proofErr w:type="spellEnd"/>
      <w:r w:rsidRPr="004472F4">
        <w:t>, 167(2-4), 108-122.</w:t>
      </w:r>
    </w:p>
    <w:p w14:paraId="7032DFC2" w14:textId="77777777" w:rsidR="004472F4" w:rsidRDefault="004472F4" w:rsidP="00B524AE">
      <w:pPr>
        <w:spacing w:after="60"/>
        <w:jc w:val="both"/>
      </w:pPr>
    </w:p>
    <w:p w14:paraId="209D61DE" w14:textId="6F58389C" w:rsidR="00E2542A" w:rsidRDefault="00E2542A">
      <w:pPr>
        <w:spacing w:after="240"/>
      </w:pPr>
    </w:p>
    <w:sectPr w:rsidR="00E2542A">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1E0B" w14:textId="77777777" w:rsidR="001C27FD" w:rsidRDefault="001C27FD">
      <w:r>
        <w:separator/>
      </w:r>
    </w:p>
  </w:endnote>
  <w:endnote w:type="continuationSeparator" w:id="0">
    <w:p w14:paraId="518C6092" w14:textId="77777777" w:rsidR="001C27FD" w:rsidRDefault="001C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98F8" w14:textId="56B99881" w:rsidR="00E2542A" w:rsidRDefault="00000000">
    <w:pPr>
      <w:jc w:val="center"/>
    </w:pPr>
    <w:r>
      <w:rPr>
        <w:color w:val="808080"/>
        <w:sz w:val="18"/>
        <w:szCs w:val="18"/>
      </w:rPr>
      <w:t>MAXANT-PUCCIO</w:t>
    </w:r>
    <w:r w:rsidR="00324225">
      <w:rPr>
        <w:color w:val="808080"/>
        <w:sz w:val="18"/>
        <w:szCs w:val="18"/>
      </w:rPr>
      <w:t xml:space="preserve">, </w:t>
    </w:r>
    <w:r w:rsidR="00324225">
      <w:rPr>
        <w:color w:val="808080"/>
        <w:sz w:val="18"/>
        <w:szCs w:val="18"/>
      </w:rPr>
      <w:t>HAAS</w:t>
    </w:r>
    <w:r>
      <w:rPr>
        <w:color w:val="808080"/>
        <w:sz w:val="18"/>
        <w:szCs w:val="18"/>
      </w:rPr>
      <w:t xml:space="preserve"> et al., 2026 — Page </w:t>
    </w:r>
    <w:r>
      <w:rPr>
        <w:color w:val="808080"/>
        <w:sz w:val="18"/>
        <w:szCs w:val="18"/>
      </w:rPr>
      <w:fldChar w:fldCharType="begin"/>
    </w:r>
    <w:r>
      <w:rPr>
        <w:color w:val="808080"/>
        <w:sz w:val="18"/>
        <w:szCs w:val="18"/>
      </w:rPr>
      <w:instrText>PAGE</w:instrText>
    </w:r>
    <w:r>
      <w:rPr>
        <w:color w:val="808080"/>
        <w:sz w:val="18"/>
        <w:szCs w:val="18"/>
      </w:rPr>
      <w:fldChar w:fldCharType="separate"/>
    </w:r>
    <w:r w:rsidR="001754FD">
      <w:rPr>
        <w:noProof/>
        <w:color w:val="808080"/>
        <w:sz w:val="18"/>
        <w:szCs w:val="18"/>
      </w:rPr>
      <w:t>1</w:t>
    </w:r>
    <w:r>
      <w:rPr>
        <w:color w:val="808080"/>
        <w:sz w:val="18"/>
        <w:szCs w:val="18"/>
      </w:rPr>
      <w:fldChar w:fldCharType="end"/>
    </w:r>
    <w:r>
      <w:rPr>
        <w:color w:val="808080"/>
        <w:sz w:val="18"/>
        <w:szCs w:val="18"/>
      </w:rPr>
      <w:t xml:space="preserve"> sur </w:t>
    </w:r>
    <w:r>
      <w:rPr>
        <w:color w:val="808080"/>
        <w:sz w:val="18"/>
        <w:szCs w:val="18"/>
      </w:rPr>
      <w:fldChar w:fldCharType="begin"/>
    </w:r>
    <w:r>
      <w:rPr>
        <w:color w:val="808080"/>
        <w:sz w:val="18"/>
        <w:szCs w:val="18"/>
      </w:rPr>
      <w:instrText>NUMPAGES</w:instrText>
    </w:r>
    <w:r>
      <w:rPr>
        <w:color w:val="808080"/>
        <w:sz w:val="18"/>
        <w:szCs w:val="18"/>
      </w:rPr>
      <w:fldChar w:fldCharType="separate"/>
    </w:r>
    <w:r w:rsidR="001754FD">
      <w:rPr>
        <w:noProof/>
        <w:color w:val="808080"/>
        <w:sz w:val="18"/>
        <w:szCs w:val="18"/>
      </w:rPr>
      <w:t>2</w:t>
    </w:r>
    <w:r>
      <w:rPr>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9EC6" w14:textId="77777777" w:rsidR="001C27FD" w:rsidRDefault="001C27FD">
      <w:r>
        <w:separator/>
      </w:r>
    </w:p>
  </w:footnote>
  <w:footnote w:type="continuationSeparator" w:id="0">
    <w:p w14:paraId="4CF3F67F" w14:textId="77777777" w:rsidR="001C27FD" w:rsidRDefault="001C2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421F5"/>
    <w:multiLevelType w:val="multilevel"/>
    <w:tmpl w:val="B2A8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10701"/>
    <w:multiLevelType w:val="hybridMultilevel"/>
    <w:tmpl w:val="BFD28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A410DF"/>
    <w:multiLevelType w:val="hybridMultilevel"/>
    <w:tmpl w:val="D5B4E762"/>
    <w:lvl w:ilvl="0" w:tplc="34B2F314">
      <w:start w:val="1"/>
      <w:numFmt w:val="lowerRoman"/>
      <w:lvlText w:val="(%1)"/>
      <w:lvlJc w:val="left"/>
      <w:pPr>
        <w:ind w:left="1080" w:hanging="72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194223"/>
    <w:multiLevelType w:val="hybridMultilevel"/>
    <w:tmpl w:val="0BDA0D3E"/>
    <w:lvl w:ilvl="0" w:tplc="712651F0">
      <w:start w:val="1"/>
      <w:numFmt w:val="bullet"/>
      <w:lvlText w:val="●"/>
      <w:lvlJc w:val="left"/>
      <w:pPr>
        <w:ind w:left="720" w:hanging="360"/>
      </w:pPr>
    </w:lvl>
    <w:lvl w:ilvl="1" w:tplc="E6B8A2FC">
      <w:start w:val="1"/>
      <w:numFmt w:val="bullet"/>
      <w:lvlText w:val="○"/>
      <w:lvlJc w:val="left"/>
      <w:pPr>
        <w:ind w:left="1440" w:hanging="360"/>
      </w:pPr>
    </w:lvl>
    <w:lvl w:ilvl="2" w:tplc="3C5E7016">
      <w:start w:val="1"/>
      <w:numFmt w:val="bullet"/>
      <w:lvlText w:val="■"/>
      <w:lvlJc w:val="left"/>
      <w:pPr>
        <w:ind w:left="2160" w:hanging="360"/>
      </w:pPr>
    </w:lvl>
    <w:lvl w:ilvl="3" w:tplc="76CE325E">
      <w:start w:val="1"/>
      <w:numFmt w:val="bullet"/>
      <w:lvlText w:val="●"/>
      <w:lvlJc w:val="left"/>
      <w:pPr>
        <w:ind w:left="2880" w:hanging="360"/>
      </w:pPr>
    </w:lvl>
    <w:lvl w:ilvl="4" w:tplc="8DD0C8D4">
      <w:start w:val="1"/>
      <w:numFmt w:val="bullet"/>
      <w:lvlText w:val="○"/>
      <w:lvlJc w:val="left"/>
      <w:pPr>
        <w:ind w:left="3600" w:hanging="360"/>
      </w:pPr>
    </w:lvl>
    <w:lvl w:ilvl="5" w:tplc="EDB61410">
      <w:start w:val="1"/>
      <w:numFmt w:val="bullet"/>
      <w:lvlText w:val="■"/>
      <w:lvlJc w:val="left"/>
      <w:pPr>
        <w:ind w:left="4320" w:hanging="360"/>
      </w:pPr>
    </w:lvl>
    <w:lvl w:ilvl="6" w:tplc="1616A728">
      <w:start w:val="1"/>
      <w:numFmt w:val="bullet"/>
      <w:lvlText w:val="●"/>
      <w:lvlJc w:val="left"/>
      <w:pPr>
        <w:ind w:left="5040" w:hanging="360"/>
      </w:pPr>
    </w:lvl>
    <w:lvl w:ilvl="7" w:tplc="3A5AFC10">
      <w:start w:val="1"/>
      <w:numFmt w:val="bullet"/>
      <w:lvlText w:val="●"/>
      <w:lvlJc w:val="left"/>
      <w:pPr>
        <w:ind w:left="5760" w:hanging="360"/>
      </w:pPr>
    </w:lvl>
    <w:lvl w:ilvl="8" w:tplc="9064F168">
      <w:start w:val="1"/>
      <w:numFmt w:val="bullet"/>
      <w:lvlText w:val="●"/>
      <w:lvlJc w:val="left"/>
      <w:pPr>
        <w:ind w:left="6480" w:hanging="360"/>
      </w:pPr>
    </w:lvl>
  </w:abstractNum>
  <w:abstractNum w:abstractNumId="4" w15:restartNumberingAfterBreak="0">
    <w:nsid w:val="49B15590"/>
    <w:multiLevelType w:val="hybridMultilevel"/>
    <w:tmpl w:val="7318BF0A"/>
    <w:lvl w:ilvl="0" w:tplc="6EB210A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4562288"/>
    <w:multiLevelType w:val="hybridMultilevel"/>
    <w:tmpl w:val="0B18FC38"/>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42F065B"/>
    <w:multiLevelType w:val="hybridMultilevel"/>
    <w:tmpl w:val="1A1AB8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0164165">
    <w:abstractNumId w:val="3"/>
    <w:lvlOverride w:ilvl="0">
      <w:startOverride w:val="1"/>
    </w:lvlOverride>
  </w:num>
  <w:num w:numId="2" w16cid:durableId="1014455246">
    <w:abstractNumId w:val="1"/>
  </w:num>
  <w:num w:numId="3" w16cid:durableId="753860623">
    <w:abstractNumId w:val="6"/>
  </w:num>
  <w:num w:numId="4" w16cid:durableId="159197506">
    <w:abstractNumId w:val="0"/>
  </w:num>
  <w:num w:numId="5" w16cid:durableId="1069618681">
    <w:abstractNumId w:val="2"/>
  </w:num>
  <w:num w:numId="6" w16cid:durableId="1334183047">
    <w:abstractNumId w:val="5"/>
  </w:num>
  <w:num w:numId="7" w16cid:durableId="1042753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2A"/>
    <w:rsid w:val="00091585"/>
    <w:rsid w:val="000C5AE8"/>
    <w:rsid w:val="001754FD"/>
    <w:rsid w:val="001C27FD"/>
    <w:rsid w:val="001D3D5D"/>
    <w:rsid w:val="00324225"/>
    <w:rsid w:val="004472F4"/>
    <w:rsid w:val="00480EBC"/>
    <w:rsid w:val="00495882"/>
    <w:rsid w:val="004F0AC8"/>
    <w:rsid w:val="005178B6"/>
    <w:rsid w:val="0052028A"/>
    <w:rsid w:val="00597F16"/>
    <w:rsid w:val="005F5956"/>
    <w:rsid w:val="00746AE2"/>
    <w:rsid w:val="007A4B0F"/>
    <w:rsid w:val="007B5549"/>
    <w:rsid w:val="007D514F"/>
    <w:rsid w:val="00861EFC"/>
    <w:rsid w:val="008B4415"/>
    <w:rsid w:val="009862C1"/>
    <w:rsid w:val="00A20889"/>
    <w:rsid w:val="00B47035"/>
    <w:rsid w:val="00B524AE"/>
    <w:rsid w:val="00C4304C"/>
    <w:rsid w:val="00C773C8"/>
    <w:rsid w:val="00CC732D"/>
    <w:rsid w:val="00DE1FEF"/>
    <w:rsid w:val="00DF5B99"/>
    <w:rsid w:val="00E2542A"/>
    <w:rsid w:val="00E2726E"/>
    <w:rsid w:val="00E92DA2"/>
    <w:rsid w:val="00EE25F7"/>
    <w:rsid w:val="00F800B5"/>
    <w:rsid w:val="00F931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21C1"/>
  <w15:docId w15:val="{25FDED68-5197-4F34-90B4-13E1A053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324225"/>
    <w:pPr>
      <w:tabs>
        <w:tab w:val="center" w:pos="4536"/>
        <w:tab w:val="right" w:pos="9072"/>
      </w:tabs>
    </w:pPr>
  </w:style>
  <w:style w:type="character" w:customStyle="1" w:styleId="En-tteCar">
    <w:name w:val="En-tête Car"/>
    <w:basedOn w:val="Policepardfaut"/>
    <w:link w:val="En-tte"/>
    <w:uiPriority w:val="99"/>
    <w:rsid w:val="00324225"/>
  </w:style>
  <w:style w:type="paragraph" w:styleId="Pieddepage">
    <w:name w:val="footer"/>
    <w:basedOn w:val="Normal"/>
    <w:link w:val="PieddepageCar"/>
    <w:uiPriority w:val="99"/>
    <w:unhideWhenUsed/>
    <w:rsid w:val="00324225"/>
    <w:pPr>
      <w:tabs>
        <w:tab w:val="center" w:pos="4536"/>
        <w:tab w:val="right" w:pos="9072"/>
      </w:tabs>
    </w:pPr>
  </w:style>
  <w:style w:type="character" w:customStyle="1" w:styleId="PieddepageCar">
    <w:name w:val="Pied de page Car"/>
    <w:basedOn w:val="Policepardfaut"/>
    <w:link w:val="Pieddepage"/>
    <w:uiPriority w:val="99"/>
    <w:rsid w:val="00324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AEB30-18A7-4396-8031-E8BF18EBB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5578</Words>
  <Characters>30680</Characters>
  <Application>Microsoft Office Word</Application>
  <DocSecurity>0</DocSecurity>
  <Lines>255</Lines>
  <Paragraphs>72</Paragraphs>
  <ScaleCrop>false</ScaleCrop>
  <HeadingPairs>
    <vt:vector size="2" baseType="variant">
      <vt:variant>
        <vt:lpstr>Titre</vt:lpstr>
      </vt:variant>
      <vt:variant>
        <vt:i4>1</vt:i4>
      </vt:variant>
    </vt:vector>
  </HeadingPairs>
  <TitlesOfParts>
    <vt:vector size="1" baseType="lpstr">
      <vt:lpstr>Article SNGTV — MVT Vosges 2026</vt:lpstr>
    </vt:vector>
  </TitlesOfParts>
  <Company/>
  <LinksUpToDate>false</LinksUpToDate>
  <CharactersWithSpaces>36186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SNGTV — MVT Vosges 2026</dc:title>
  <dc:creator>GDS Vosges</dc:creator>
  <cp:lastModifiedBy>Amarin MAXANT</cp:lastModifiedBy>
  <cp:revision>24</cp:revision>
  <cp:lastPrinted>2026-04-24T12:46:00Z</cp:lastPrinted>
  <dcterms:created xsi:type="dcterms:W3CDTF">2026-04-24T08:05:00Z</dcterms:created>
  <dcterms:modified xsi:type="dcterms:W3CDTF">2026-04-29T13:05:00Z</dcterms:modified>
</cp:coreProperties>
</file>